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7E69" w14:textId="77777777" w:rsidR="009071D7" w:rsidRPr="00992817" w:rsidRDefault="009071D7" w:rsidP="00834B97">
      <w:pPr>
        <w:widowControl/>
        <w:spacing w:line="276" w:lineRule="auto"/>
        <w:rPr>
          <w:sz w:val="20"/>
          <w:szCs w:val="20"/>
        </w:rPr>
      </w:pPr>
    </w:p>
    <w:p w14:paraId="44E17A2E" w14:textId="77777777" w:rsidR="009071D7" w:rsidRPr="00992817" w:rsidRDefault="009071D7" w:rsidP="00834B97">
      <w:pPr>
        <w:widowControl/>
        <w:spacing w:line="276" w:lineRule="auto"/>
        <w:rPr>
          <w:sz w:val="20"/>
          <w:szCs w:val="20"/>
        </w:rPr>
      </w:pPr>
    </w:p>
    <w:p w14:paraId="1919101A" w14:textId="77777777" w:rsidR="009071D7" w:rsidRPr="00992817" w:rsidRDefault="009071D7" w:rsidP="00834B97">
      <w:pPr>
        <w:widowControl/>
        <w:spacing w:line="276" w:lineRule="auto"/>
        <w:rPr>
          <w:sz w:val="20"/>
          <w:szCs w:val="20"/>
        </w:rPr>
      </w:pPr>
    </w:p>
    <w:p w14:paraId="718B83AB" w14:textId="77777777" w:rsidR="009071D7" w:rsidRPr="00992817" w:rsidRDefault="009071D7" w:rsidP="00834B97">
      <w:pPr>
        <w:widowControl/>
        <w:spacing w:line="276" w:lineRule="auto"/>
        <w:rPr>
          <w:sz w:val="20"/>
          <w:szCs w:val="20"/>
        </w:rPr>
      </w:pPr>
    </w:p>
    <w:p w14:paraId="1047293D" w14:textId="77777777" w:rsidR="009071D7" w:rsidRPr="00992817" w:rsidRDefault="009071D7" w:rsidP="00834B97">
      <w:pPr>
        <w:widowControl/>
        <w:spacing w:line="276" w:lineRule="auto"/>
        <w:rPr>
          <w:sz w:val="20"/>
          <w:szCs w:val="20"/>
        </w:rPr>
      </w:pPr>
    </w:p>
    <w:p w14:paraId="1505D537" w14:textId="77777777" w:rsidR="009071D7" w:rsidRPr="00992817" w:rsidRDefault="009071D7" w:rsidP="00834B97">
      <w:pPr>
        <w:widowControl/>
        <w:spacing w:line="276" w:lineRule="auto"/>
        <w:rPr>
          <w:sz w:val="20"/>
          <w:szCs w:val="20"/>
        </w:rPr>
      </w:pPr>
    </w:p>
    <w:p w14:paraId="12C9054B" w14:textId="77777777" w:rsidR="009071D7" w:rsidRPr="00992817" w:rsidRDefault="009071D7" w:rsidP="00834B97">
      <w:pPr>
        <w:widowControl/>
        <w:spacing w:line="276" w:lineRule="auto"/>
        <w:rPr>
          <w:sz w:val="20"/>
          <w:szCs w:val="20"/>
        </w:rPr>
      </w:pPr>
    </w:p>
    <w:p w14:paraId="44DCD5CD" w14:textId="77777777" w:rsidR="009071D7" w:rsidRPr="00992817" w:rsidRDefault="009071D7" w:rsidP="00834B97">
      <w:pPr>
        <w:widowControl/>
        <w:spacing w:line="276" w:lineRule="auto"/>
        <w:rPr>
          <w:sz w:val="20"/>
          <w:szCs w:val="20"/>
        </w:rPr>
      </w:pPr>
    </w:p>
    <w:p w14:paraId="67030538" w14:textId="77777777" w:rsidR="009071D7" w:rsidRPr="00992817" w:rsidRDefault="009071D7" w:rsidP="00834B97">
      <w:pPr>
        <w:widowControl/>
        <w:spacing w:line="276" w:lineRule="auto"/>
        <w:rPr>
          <w:sz w:val="20"/>
          <w:szCs w:val="20"/>
        </w:rPr>
      </w:pPr>
    </w:p>
    <w:p w14:paraId="79EC16D2" w14:textId="77777777" w:rsidR="009071D7" w:rsidRPr="00992817" w:rsidRDefault="009071D7" w:rsidP="00834B97">
      <w:pPr>
        <w:widowControl/>
        <w:spacing w:line="276" w:lineRule="auto"/>
        <w:rPr>
          <w:sz w:val="20"/>
          <w:szCs w:val="20"/>
        </w:rPr>
      </w:pPr>
    </w:p>
    <w:p w14:paraId="7134828D" w14:textId="77777777" w:rsidR="009071D7" w:rsidRPr="00992817" w:rsidRDefault="009071D7" w:rsidP="00834B97">
      <w:pPr>
        <w:widowControl/>
        <w:spacing w:line="276" w:lineRule="auto"/>
        <w:rPr>
          <w:sz w:val="20"/>
          <w:szCs w:val="20"/>
        </w:rPr>
      </w:pPr>
    </w:p>
    <w:p w14:paraId="06815CA1" w14:textId="77777777" w:rsidR="009071D7" w:rsidRPr="00992817" w:rsidRDefault="009071D7" w:rsidP="00834B97">
      <w:pPr>
        <w:widowControl/>
        <w:spacing w:line="276" w:lineRule="auto"/>
        <w:rPr>
          <w:sz w:val="20"/>
          <w:szCs w:val="20"/>
        </w:rPr>
      </w:pPr>
    </w:p>
    <w:p w14:paraId="2BCB3447" w14:textId="77777777" w:rsidR="009071D7" w:rsidRPr="00992817" w:rsidRDefault="009071D7" w:rsidP="00834B97">
      <w:pPr>
        <w:widowControl/>
        <w:spacing w:line="276" w:lineRule="auto"/>
        <w:rPr>
          <w:sz w:val="20"/>
          <w:szCs w:val="20"/>
        </w:rPr>
      </w:pPr>
    </w:p>
    <w:p w14:paraId="2DA14C94" w14:textId="77777777" w:rsidR="009071D7" w:rsidRPr="00992817" w:rsidRDefault="009071D7" w:rsidP="00834B97">
      <w:pPr>
        <w:widowControl/>
        <w:spacing w:line="276" w:lineRule="auto"/>
        <w:rPr>
          <w:sz w:val="20"/>
          <w:szCs w:val="20"/>
        </w:rPr>
      </w:pPr>
    </w:p>
    <w:p w14:paraId="200399DE" w14:textId="77777777" w:rsidR="009071D7" w:rsidRPr="00992817" w:rsidRDefault="009071D7" w:rsidP="00834B97">
      <w:pPr>
        <w:widowControl/>
        <w:spacing w:line="276" w:lineRule="auto"/>
        <w:rPr>
          <w:sz w:val="20"/>
          <w:szCs w:val="20"/>
        </w:rPr>
      </w:pPr>
    </w:p>
    <w:p w14:paraId="453293CB" w14:textId="77777777" w:rsidR="009071D7" w:rsidRPr="00992817" w:rsidRDefault="009071D7" w:rsidP="00834B97">
      <w:pPr>
        <w:widowControl/>
        <w:spacing w:line="276" w:lineRule="auto"/>
        <w:rPr>
          <w:sz w:val="20"/>
          <w:szCs w:val="20"/>
        </w:rPr>
      </w:pPr>
    </w:p>
    <w:p w14:paraId="405CAACA" w14:textId="77777777" w:rsidR="009071D7" w:rsidRPr="00992817" w:rsidRDefault="009071D7" w:rsidP="00834B97">
      <w:pPr>
        <w:widowControl/>
        <w:spacing w:line="276" w:lineRule="auto"/>
        <w:rPr>
          <w:sz w:val="20"/>
          <w:szCs w:val="20"/>
        </w:rPr>
      </w:pPr>
    </w:p>
    <w:p w14:paraId="3E10CB45" w14:textId="77777777" w:rsidR="009071D7" w:rsidRPr="00992817" w:rsidRDefault="009071D7" w:rsidP="00834B97">
      <w:pPr>
        <w:widowControl/>
        <w:spacing w:line="276" w:lineRule="auto"/>
        <w:rPr>
          <w:sz w:val="20"/>
          <w:szCs w:val="20"/>
        </w:rPr>
      </w:pPr>
    </w:p>
    <w:p w14:paraId="2552DF46" w14:textId="77777777" w:rsidR="009071D7" w:rsidRPr="00992817" w:rsidRDefault="009071D7" w:rsidP="00834B97">
      <w:pPr>
        <w:widowControl/>
        <w:spacing w:line="276" w:lineRule="auto"/>
        <w:rPr>
          <w:sz w:val="20"/>
          <w:szCs w:val="20"/>
        </w:rPr>
      </w:pPr>
    </w:p>
    <w:p w14:paraId="774C45A9" w14:textId="77777777" w:rsidR="009071D7" w:rsidRPr="00992817" w:rsidRDefault="009071D7" w:rsidP="00834B97">
      <w:pPr>
        <w:widowControl/>
        <w:spacing w:before="5" w:line="276" w:lineRule="auto"/>
        <w:rPr>
          <w:sz w:val="28"/>
          <w:szCs w:val="28"/>
        </w:rPr>
      </w:pPr>
    </w:p>
    <w:p w14:paraId="6864DE12" w14:textId="77777777" w:rsidR="00C85920" w:rsidRDefault="00C85920" w:rsidP="00C85920">
      <w:pPr>
        <w:spacing w:line="240" w:lineRule="atLeast"/>
        <w:jc w:val="center"/>
        <w:rPr>
          <w:sz w:val="72"/>
          <w:szCs w:val="72"/>
        </w:rPr>
      </w:pPr>
      <w:r>
        <w:rPr>
          <w:sz w:val="72"/>
        </w:rPr>
        <w:t>[Nom légal de la coopérative]</w:t>
      </w:r>
      <w:bookmarkStart w:id="0" w:name="_Toc339814024"/>
      <w:bookmarkStart w:id="1" w:name="_Toc339873686"/>
      <w:bookmarkStart w:id="2" w:name="_Toc319740395"/>
      <w:bookmarkStart w:id="3" w:name="_Toc343265675"/>
    </w:p>
    <w:p w14:paraId="00A8359B" w14:textId="77777777" w:rsidR="00C85920" w:rsidRDefault="00C85920" w:rsidP="00C85920">
      <w:pPr>
        <w:spacing w:line="240" w:lineRule="atLeast"/>
        <w:jc w:val="center"/>
        <w:rPr>
          <w:sz w:val="72"/>
          <w:szCs w:val="72"/>
        </w:rPr>
      </w:pPr>
    </w:p>
    <w:p w14:paraId="501D1F59" w14:textId="0EA1F853" w:rsidR="00C85920" w:rsidRPr="009A68F2" w:rsidRDefault="00C85920" w:rsidP="00C85920">
      <w:pPr>
        <w:spacing w:line="240" w:lineRule="atLeast"/>
        <w:jc w:val="center"/>
        <w:rPr>
          <w:sz w:val="72"/>
          <w:szCs w:val="72"/>
        </w:rPr>
      </w:pPr>
      <w:r>
        <w:rPr>
          <w:sz w:val="28"/>
        </w:rPr>
        <w:t>Politique d’investissement de fonds coopératifs</w:t>
      </w:r>
      <w:bookmarkEnd w:id="0"/>
      <w:bookmarkEnd w:id="1"/>
      <w:bookmarkEnd w:id="2"/>
      <w:bookmarkEnd w:id="3"/>
    </w:p>
    <w:p w14:paraId="08488156" w14:textId="77777777" w:rsidR="00C85920" w:rsidRPr="00F5104B" w:rsidRDefault="00C85920" w:rsidP="00C85920">
      <w:pPr>
        <w:spacing w:line="240" w:lineRule="atLeast"/>
        <w:jc w:val="center"/>
        <w:rPr>
          <w:b/>
          <w:sz w:val="36"/>
        </w:rPr>
      </w:pPr>
    </w:p>
    <w:p w14:paraId="609683AD" w14:textId="77777777" w:rsidR="00C85920" w:rsidRPr="00F5104B" w:rsidRDefault="00C85920" w:rsidP="00C85920">
      <w:pPr>
        <w:spacing w:line="240" w:lineRule="atLeast"/>
        <w:jc w:val="center"/>
        <w:rPr>
          <w:b/>
          <w:sz w:val="36"/>
        </w:rPr>
      </w:pPr>
    </w:p>
    <w:p w14:paraId="6E425B0D" w14:textId="77777777" w:rsidR="00C85920" w:rsidRPr="00B72257" w:rsidRDefault="00C85920" w:rsidP="00C85920">
      <w:pPr>
        <w:jc w:val="center"/>
        <w:rPr>
          <w:b/>
        </w:rPr>
      </w:pPr>
      <w:r>
        <w:rPr>
          <w:b/>
          <w:noProof/>
          <w:sz w:val="36"/>
        </w:rPr>
        <mc:AlternateContent>
          <mc:Choice Requires="wps">
            <w:drawing>
              <wp:anchor distT="0" distB="0" distL="114300" distR="114300" simplePos="0" relativeHeight="251660288" behindDoc="0" locked="0" layoutInCell="1" allowOverlap="1" wp14:anchorId="32722D65" wp14:editId="61444FAF">
                <wp:simplePos x="0" y="0"/>
                <wp:positionH relativeFrom="column">
                  <wp:posOffset>137160</wp:posOffset>
                </wp:positionH>
                <wp:positionV relativeFrom="paragraph">
                  <wp:posOffset>258445</wp:posOffset>
                </wp:positionV>
                <wp:extent cx="5737860" cy="635"/>
                <wp:effectExtent l="13335" t="12065" r="1143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79AFB" id="_x0000_t32" coordsize="21600,21600" o:spt="32" o:oned="t" path="m,l21600,21600e" filled="f">
                <v:path arrowok="t" fillok="f" o:connecttype="none"/>
                <o:lock v:ext="edit" shapetype="t"/>
              </v:shapetype>
              <v:shape id="Straight Arrow Connector 2" o:spid="_x0000_s1026" type="#_x0000_t32" style="position:absolute;margin-left:10.8pt;margin-top:20.35pt;width:451.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"/>
            </w:pict>
          </mc:Fallback>
        </mc:AlternateContent>
      </w:r>
    </w:p>
    <w:p w14:paraId="02ABF963" w14:textId="77777777" w:rsidR="00C85920" w:rsidRPr="00B72257" w:rsidRDefault="00C85920" w:rsidP="00C85920">
      <w:pPr>
        <w:spacing w:line="240" w:lineRule="atLeast"/>
        <w:jc w:val="center"/>
        <w:rPr>
          <w:b/>
        </w:rPr>
      </w:pPr>
    </w:p>
    <w:p w14:paraId="1A8B0197" w14:textId="68CFD900" w:rsidR="00C85920" w:rsidRPr="00B72257" w:rsidRDefault="00C85920" w:rsidP="00C85920">
      <w:pPr>
        <w:spacing w:line="240" w:lineRule="atLeast"/>
        <w:jc w:val="center"/>
        <w:rPr>
          <w:i/>
          <w:sz w:val="40"/>
          <w:szCs w:val="40"/>
        </w:rPr>
      </w:pPr>
      <w:r>
        <w:rPr>
          <w:sz w:val="40"/>
        </w:rPr>
        <w:t>POLITIQUE D’INVESTISSEMENT</w:t>
      </w:r>
    </w:p>
    <w:p w14:paraId="61C8C14B" w14:textId="77777777" w:rsidR="00C85920" w:rsidRDefault="00C85920" w:rsidP="00C85920">
      <w:pPr>
        <w:spacing w:line="240" w:lineRule="atLeast"/>
        <w:jc w:val="center"/>
        <w:rPr>
          <w:b/>
          <w:sz w:val="40"/>
          <w:szCs w:val="40"/>
        </w:rPr>
      </w:pPr>
      <w:r>
        <w:rPr>
          <w:b/>
          <w:noProof/>
          <w:sz w:val="40"/>
        </w:rPr>
        <mc:AlternateContent>
          <mc:Choice Requires="wps">
            <w:drawing>
              <wp:anchor distT="0" distB="0" distL="114300" distR="114300" simplePos="0" relativeHeight="251661312" behindDoc="0" locked="0" layoutInCell="1" allowOverlap="1" wp14:anchorId="14B1DE2B" wp14:editId="06A4D930">
                <wp:simplePos x="0" y="0"/>
                <wp:positionH relativeFrom="column">
                  <wp:posOffset>137160</wp:posOffset>
                </wp:positionH>
                <wp:positionV relativeFrom="paragraph">
                  <wp:posOffset>12700</wp:posOffset>
                </wp:positionV>
                <wp:extent cx="5737860" cy="635"/>
                <wp:effectExtent l="13335" t="8890" r="1143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99DFC" id="Straight Arrow Connector 1" o:spid="_x0000_s1026" type="#_x0000_t32" style="position:absolute;margin-left:10.8pt;margin-top:1pt;width:451.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"/>
            </w:pict>
          </mc:Fallback>
        </mc:AlternateContent>
      </w:r>
    </w:p>
    <w:p w14:paraId="6DAC3701" w14:textId="77777777" w:rsidR="00C85920" w:rsidRPr="000B0B71" w:rsidRDefault="00C85920" w:rsidP="00C85920">
      <w:pPr>
        <w:spacing w:line="240" w:lineRule="atLeast"/>
        <w:jc w:val="center"/>
        <w:rPr>
          <w:b/>
          <w:sz w:val="16"/>
          <w:szCs w:val="16"/>
        </w:rPr>
      </w:pPr>
    </w:p>
    <w:p w14:paraId="02C71CA0" w14:textId="01DA5596" w:rsidR="00C85920" w:rsidRDefault="00C85920" w:rsidP="00C85920">
      <w:pPr>
        <w:spacing w:line="240" w:lineRule="atLeast"/>
        <w:jc w:val="center"/>
        <w:rPr>
          <w:b/>
          <w:sz w:val="28"/>
          <w:szCs w:val="28"/>
        </w:rPr>
      </w:pPr>
      <w:r>
        <w:rPr>
          <w:b/>
          <w:sz w:val="28"/>
        </w:rPr>
        <w:t>MODÈLE POUR LES COOPÉRATIVES</w:t>
      </w:r>
    </w:p>
    <w:p w14:paraId="2BA1D1F6" w14:textId="5056D984" w:rsidR="00C85920" w:rsidRPr="008A2B0D" w:rsidRDefault="00C85920" w:rsidP="00C85920">
      <w:pPr>
        <w:spacing w:line="240" w:lineRule="atLeast"/>
        <w:jc w:val="center"/>
      </w:pPr>
      <w:r>
        <w:t>À utiliser avec le Guide de la nouvelle politique type d’investissement pour les coopératives.</w:t>
      </w:r>
    </w:p>
    <w:p w14:paraId="7A0087CF" w14:textId="77777777" w:rsidR="00C85920" w:rsidRPr="008A2B0D" w:rsidRDefault="00C85920" w:rsidP="00C85920">
      <w:pPr>
        <w:spacing w:line="240" w:lineRule="atLeast"/>
        <w:jc w:val="center"/>
      </w:pPr>
    </w:p>
    <w:p w14:paraId="0166FEF3" w14:textId="77777777" w:rsidR="00C85920" w:rsidRPr="00F5104B" w:rsidRDefault="00C85920" w:rsidP="00C85920">
      <w:pPr>
        <w:spacing w:line="240" w:lineRule="atLeast"/>
        <w:ind w:left="720"/>
      </w:pPr>
    </w:p>
    <w:p w14:paraId="674F4F5F" w14:textId="77777777" w:rsidR="00C85920" w:rsidRPr="00F5104B" w:rsidRDefault="00C85920" w:rsidP="00C85920">
      <w:pPr>
        <w:spacing w:line="240" w:lineRule="atLeast"/>
        <w:ind w:left="1440"/>
        <w:rPr>
          <w:sz w:val="28"/>
        </w:rPr>
      </w:pPr>
    </w:p>
    <w:p w14:paraId="16FDE59E" w14:textId="77777777" w:rsidR="00C85920" w:rsidRPr="00F5104B" w:rsidRDefault="00C85920" w:rsidP="00C85920">
      <w:pPr>
        <w:spacing w:line="240" w:lineRule="atLeast"/>
        <w:ind w:left="1440"/>
        <w:rPr>
          <w:sz w:val="28"/>
        </w:rPr>
      </w:pPr>
    </w:p>
    <w:p w14:paraId="255E8B6F" w14:textId="77777777" w:rsidR="00C85920" w:rsidRPr="00F5104B" w:rsidRDefault="00C85920" w:rsidP="00C85920">
      <w:pPr>
        <w:spacing w:line="240" w:lineRule="atLeast"/>
        <w:ind w:left="90" w:right="990"/>
        <w:jc w:val="right"/>
      </w:pPr>
      <w:r>
        <w:t>Adoptée par le conseil d’administration le ___________ 20___</w:t>
      </w:r>
    </w:p>
    <w:p w14:paraId="3717DB2B" w14:textId="77777777" w:rsidR="00C85920" w:rsidRPr="00F5104B" w:rsidRDefault="00C85920" w:rsidP="00C85920">
      <w:pPr>
        <w:spacing w:line="240" w:lineRule="atLeast"/>
        <w:ind w:left="90" w:right="990"/>
        <w:jc w:val="right"/>
      </w:pPr>
    </w:p>
    <w:p w14:paraId="12FA238A" w14:textId="77777777" w:rsidR="00C85920" w:rsidRPr="00992817" w:rsidRDefault="00C85920" w:rsidP="00C85920">
      <w:pPr>
        <w:widowControl/>
        <w:spacing w:line="276" w:lineRule="auto"/>
        <w:rPr>
          <w:sz w:val="20"/>
          <w:szCs w:val="20"/>
        </w:rPr>
      </w:pPr>
    </w:p>
    <w:p w14:paraId="0B594C49" w14:textId="442A0C16" w:rsidR="009071D7" w:rsidRDefault="00C85920" w:rsidP="00C85920">
      <w:pPr>
        <w:pStyle w:val="BodyText"/>
        <w:spacing w:before="120"/>
        <w:rPr>
          <w:rFonts w:cs="Calibri"/>
        </w:rPr>
      </w:pPr>
      <w:r>
        <w:rPr>
          <w:rFonts w:ascii="Arial" w:hAnsi="Arial"/>
          <w:sz w:val="18"/>
        </w:rPr>
        <w:lastRenderedPageBreak/>
        <w:t>© Fédération de l’habitation coopérative du Canada, 2023 Les membres de la FHCC peuvent utiliser et modifier le présent règlement. Ce matériel ne doit pas être utilisé ou copié par des tiers sans l’approbation écrite de la Fédération de l’habitation coopérative du Canada.</w:t>
      </w:r>
      <w:bookmarkStart w:id="4" w:name="Passed_by_the_Board_of_Directors_on_Conf"/>
      <w:bookmarkEnd w:id="4"/>
    </w:p>
    <w:p w14:paraId="7459CA84" w14:textId="77777777" w:rsidR="00277D0E" w:rsidRDefault="00277D0E" w:rsidP="00834B97">
      <w:pPr>
        <w:widowControl/>
        <w:spacing w:before="16" w:line="276" w:lineRule="auto"/>
        <w:ind w:right="3"/>
        <w:jc w:val="center"/>
        <w:rPr>
          <w:rFonts w:ascii="Calibri" w:eastAsia="Calibri" w:hAnsi="Calibri" w:cs="Calibri"/>
          <w:spacing w:val="-1"/>
          <w:sz w:val="40"/>
          <w:szCs w:val="40"/>
        </w:rPr>
      </w:pPr>
    </w:p>
    <w:p w14:paraId="420271AF" w14:textId="683AC62A" w:rsidR="009071D7" w:rsidRPr="00C85920" w:rsidRDefault="007523CD" w:rsidP="00C85920">
      <w:pPr>
        <w:jc w:val="center"/>
        <w:rPr>
          <w:rFonts w:ascii="Calibri" w:eastAsia="Calibri" w:hAnsi="Calibri" w:cs="Calibri"/>
          <w:spacing w:val="-1"/>
          <w:sz w:val="32"/>
          <w:szCs w:val="32"/>
        </w:rPr>
      </w:pPr>
      <w:r>
        <w:rPr>
          <w:noProof/>
          <w:sz w:val="32"/>
        </w:rPr>
        <mc:AlternateContent>
          <mc:Choice Requires="wpg">
            <w:drawing>
              <wp:anchor distT="0" distB="0" distL="114300" distR="114300" simplePos="0" relativeHeight="251658240" behindDoc="1" locked="0" layoutInCell="1" allowOverlap="1" wp14:anchorId="54FACFD3" wp14:editId="3503C079">
                <wp:simplePos x="0" y="0"/>
                <wp:positionH relativeFrom="page">
                  <wp:posOffset>896620</wp:posOffset>
                </wp:positionH>
                <wp:positionV relativeFrom="page">
                  <wp:posOffset>9474835</wp:posOffset>
                </wp:positionV>
                <wp:extent cx="5981065" cy="1270"/>
                <wp:effectExtent l="10795" t="6985" r="8890" b="1079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921"/>
                          <a:chExt cx="9419" cy="2"/>
                        </a:xfrm>
                      </wpg:grpSpPr>
                      <wps:wsp>
                        <wps:cNvPr id="5" name="Freeform 3"/>
                        <wps:cNvSpPr>
                          <a:spLocks/>
                        </wps:cNvSpPr>
                        <wps:spPr bwMode="auto">
                          <a:xfrm>
                            <a:off x="1412" y="1492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3462">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07661" id="Group 2" o:spid="_x0000_s1026" style="position:absolute;margin-left:70.6pt;margin-top:746.05pt;width:470.95pt;height:.1pt;z-index:-251658240;mso-position-horizontal-relative:page;mso-position-vertical-relative:page" coordorigin="1412,14921"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">
                <v:shape id="Freeform 3" o:spid="_x0000_s1027" style="position:absolute;left:1412;top:14921;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uNcAA&#10;AADaAAAADwAAAGRycy9kb3ducmV2LnhtbESPzarCMBSE94LvEI7gTlMVL1qNIsoFt/6B7g7NMa02&#10;J6XJ1fr2RhDucpiZb5j5srGleFDtC8cKBv0EBHHmdMFGwfHw25uA8AFZY+mYFLzIw3LRbs0x1e7J&#10;O3rsgxERwj5FBXkIVSqlz3Ky6PuuIo7e1dUWQ5S1kbrGZ4TbUg6T5EdaLDgu5FjROqfsvv+zCk7m&#10;fLytbnpk7tPzpXoNN6MdHpTqdprVDESgJvyHv+2tVjCGz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WuNcAAAADaAAAADwAAAAAAAAAAAAAAAACYAgAAZHJzL2Rvd25y&#10;ZXYueG1sUEsFBgAAAAAEAAQA9QAAAIUDAAAAAA==&#10;" path="m,l9419,e" filled="f" strokecolor="#c1c1c1" strokeweight="1.06pt">
                  <v:path arrowok="t" o:connecttype="custom" o:connectlocs="0,0;9419,0" o:connectangles="0,0"/>
                </v:shape>
                <w10:wrap anchorx="page" anchory="page"/>
              </v:group>
            </w:pict>
          </mc:Fallback>
        </mc:AlternateContent>
      </w:r>
      <w:r>
        <w:rPr>
          <w:rFonts w:ascii="Calibri" w:hAnsi="Calibri"/>
          <w:sz w:val="32"/>
        </w:rPr>
        <w:t>TABLE DES MATIÈRES</w:t>
      </w:r>
    </w:p>
    <w:p w14:paraId="72D010D3" w14:textId="77777777" w:rsidR="009071D7" w:rsidRPr="00992817" w:rsidRDefault="009071D7" w:rsidP="00834B97">
      <w:pPr>
        <w:widowControl/>
        <w:spacing w:before="1" w:line="276" w:lineRule="auto"/>
        <w:rPr>
          <w:sz w:val="13"/>
          <w:szCs w:val="13"/>
        </w:rPr>
      </w:pPr>
    </w:p>
    <w:p w14:paraId="25661301" w14:textId="77777777" w:rsidR="009071D7" w:rsidRPr="00992817" w:rsidRDefault="009071D7" w:rsidP="00834B97">
      <w:pPr>
        <w:widowControl/>
        <w:spacing w:line="276" w:lineRule="auto"/>
        <w:rPr>
          <w:sz w:val="20"/>
          <w:szCs w:val="20"/>
        </w:rPr>
      </w:pPr>
    </w:p>
    <w:p w14:paraId="57F3E135" w14:textId="77777777" w:rsidR="009071D7" w:rsidRPr="00992817" w:rsidRDefault="009071D7" w:rsidP="00834B97">
      <w:pPr>
        <w:widowControl/>
        <w:spacing w:line="276" w:lineRule="auto"/>
        <w:rPr>
          <w:sz w:val="20"/>
          <w:szCs w:val="20"/>
        </w:rPr>
      </w:pPr>
    </w:p>
    <w:p w14:paraId="12944F66" w14:textId="77777777" w:rsidR="009071D7" w:rsidRPr="00992817" w:rsidRDefault="009071D7" w:rsidP="00834B97">
      <w:pPr>
        <w:widowControl/>
        <w:spacing w:line="276" w:lineRule="auto"/>
        <w:rPr>
          <w:sz w:val="20"/>
          <w:szCs w:val="20"/>
        </w:rPr>
      </w:pPr>
    </w:p>
    <w:bookmarkStart w:id="5" w:name="Article_1:___Purpose_of_this_by-law_3" w:displacedByCustomXml="next"/>
    <w:bookmarkEnd w:id="5" w:displacedByCustomXml="next"/>
    <w:sdt>
      <w:sdtPr>
        <w:rPr>
          <w:rFonts w:asciiTheme="minorHAnsi" w:eastAsiaTheme="minorHAnsi" w:hAnsiTheme="minorHAnsi"/>
          <w:sz w:val="22"/>
          <w:szCs w:val="22"/>
        </w:rPr>
        <w:id w:val="2094426155"/>
        <w:docPartObj>
          <w:docPartGallery w:val="Table of Contents"/>
          <w:docPartUnique/>
        </w:docPartObj>
      </w:sdtPr>
      <w:sdtContent>
        <w:p w14:paraId="327C1C45" w14:textId="3159E0BF" w:rsidR="0097080B" w:rsidRDefault="00383451">
          <w:pPr>
            <w:pStyle w:val="TOC1"/>
            <w:tabs>
              <w:tab w:val="right" w:leader="dot" w:pos="9550"/>
            </w:tabs>
            <w:rPr>
              <w:rFonts w:asciiTheme="minorHAnsi" w:eastAsiaTheme="minorEastAsia" w:hAnsiTheme="minorHAnsi"/>
              <w:noProof/>
              <w:kern w:val="2"/>
              <w:sz w:val="22"/>
              <w:szCs w:val="22"/>
              <w:lang w:val="en-CA" w:eastAsia="en-CA"/>
              <w14:ligatures w14:val="standardContextual"/>
            </w:rPr>
          </w:pPr>
          <w:r w:rsidRPr="00992817">
            <w:fldChar w:fldCharType="begin"/>
          </w:r>
          <w:r w:rsidRPr="00992817">
            <w:instrText xml:space="preserve">TOC \o "1-1" \h \z \u </w:instrText>
          </w:r>
          <w:r w:rsidRPr="00992817">
            <w:fldChar w:fldCharType="separate"/>
          </w:r>
          <w:hyperlink w:anchor="_Toc140063081" w:history="1">
            <w:r w:rsidR="0097080B" w:rsidRPr="004E5857">
              <w:rPr>
                <w:rStyle w:val="Hyperlink"/>
                <w:noProof/>
                <w14:scene3d>
                  <w14:camera w14:prst="orthographicFront"/>
                  <w14:lightRig w14:rig="threePt" w14:dir="t">
                    <w14:rot w14:lat="0" w14:lon="0" w14:rev="0"/>
                  </w14:lightRig>
                </w14:scene3d>
              </w:rPr>
              <w:t>Article 1:</w:t>
            </w:r>
            <w:r w:rsidR="0097080B" w:rsidRPr="004E5857">
              <w:rPr>
                <w:rStyle w:val="Hyperlink"/>
                <w:noProof/>
              </w:rPr>
              <w:t xml:space="preserve"> À propos de cette politique</w:t>
            </w:r>
            <w:r w:rsidR="0097080B">
              <w:rPr>
                <w:noProof/>
                <w:webHidden/>
              </w:rPr>
              <w:tab/>
            </w:r>
            <w:r w:rsidR="0097080B">
              <w:rPr>
                <w:noProof/>
                <w:webHidden/>
              </w:rPr>
              <w:fldChar w:fldCharType="begin"/>
            </w:r>
            <w:r w:rsidR="0097080B">
              <w:rPr>
                <w:noProof/>
                <w:webHidden/>
              </w:rPr>
              <w:instrText xml:space="preserve"> PAGEREF _Toc140063081 \h </w:instrText>
            </w:r>
            <w:r w:rsidR="0097080B">
              <w:rPr>
                <w:noProof/>
                <w:webHidden/>
              </w:rPr>
            </w:r>
            <w:r w:rsidR="0097080B">
              <w:rPr>
                <w:noProof/>
                <w:webHidden/>
              </w:rPr>
              <w:fldChar w:fldCharType="separate"/>
            </w:r>
            <w:r w:rsidR="0097080B">
              <w:rPr>
                <w:noProof/>
                <w:webHidden/>
              </w:rPr>
              <w:t>1</w:t>
            </w:r>
            <w:r w:rsidR="0097080B">
              <w:rPr>
                <w:noProof/>
                <w:webHidden/>
              </w:rPr>
              <w:fldChar w:fldCharType="end"/>
            </w:r>
          </w:hyperlink>
        </w:p>
        <w:p w14:paraId="5E554AEC" w14:textId="1E253DB6"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2" w:history="1">
            <w:r w:rsidR="0097080B" w:rsidRPr="004E5857">
              <w:rPr>
                <w:rStyle w:val="Hyperlink"/>
                <w:noProof/>
                <w14:scene3d>
                  <w14:camera w14:prst="orthographicFront"/>
                  <w14:lightRig w14:rig="threePt" w14:dir="t">
                    <w14:rot w14:lat="0" w14:lon="0" w14:rev="0"/>
                  </w14:lightRig>
                </w14:scene3d>
              </w:rPr>
              <w:t>Article 2:</w:t>
            </w:r>
            <w:r w:rsidR="0097080B" w:rsidRPr="004E5857">
              <w:rPr>
                <w:rStyle w:val="Hyperlink"/>
                <w:noProof/>
              </w:rPr>
              <w:t xml:space="preserve"> Introduction</w:t>
            </w:r>
            <w:r w:rsidR="0097080B">
              <w:rPr>
                <w:noProof/>
                <w:webHidden/>
              </w:rPr>
              <w:tab/>
            </w:r>
            <w:r w:rsidR="0097080B">
              <w:rPr>
                <w:noProof/>
                <w:webHidden/>
              </w:rPr>
              <w:fldChar w:fldCharType="begin"/>
            </w:r>
            <w:r w:rsidR="0097080B">
              <w:rPr>
                <w:noProof/>
                <w:webHidden/>
              </w:rPr>
              <w:instrText xml:space="preserve"> PAGEREF _Toc140063082 \h </w:instrText>
            </w:r>
            <w:r w:rsidR="0097080B">
              <w:rPr>
                <w:noProof/>
                <w:webHidden/>
              </w:rPr>
            </w:r>
            <w:r w:rsidR="0097080B">
              <w:rPr>
                <w:noProof/>
                <w:webHidden/>
              </w:rPr>
              <w:fldChar w:fldCharType="separate"/>
            </w:r>
            <w:r w:rsidR="0097080B">
              <w:rPr>
                <w:noProof/>
                <w:webHidden/>
              </w:rPr>
              <w:t>1</w:t>
            </w:r>
            <w:r w:rsidR="0097080B">
              <w:rPr>
                <w:noProof/>
                <w:webHidden/>
              </w:rPr>
              <w:fldChar w:fldCharType="end"/>
            </w:r>
          </w:hyperlink>
        </w:p>
        <w:p w14:paraId="092820FF" w14:textId="5E972AAA"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3" w:history="1">
            <w:r w:rsidR="0097080B" w:rsidRPr="004E5857">
              <w:rPr>
                <w:rStyle w:val="Hyperlink"/>
                <w:noProof/>
                <w14:scene3d>
                  <w14:camera w14:prst="orthographicFront"/>
                  <w14:lightRig w14:rig="threePt" w14:dir="t">
                    <w14:rot w14:lat="0" w14:lon="0" w14:rev="0"/>
                  </w14:lightRig>
                </w14:scene3d>
              </w:rPr>
              <w:t>Article 3:</w:t>
            </w:r>
            <w:r w:rsidR="0097080B" w:rsidRPr="004E5857">
              <w:rPr>
                <w:rStyle w:val="Hyperlink"/>
                <w:noProof/>
              </w:rPr>
              <w:t xml:space="preserve"> Objectifs d’investissement</w:t>
            </w:r>
            <w:r w:rsidR="0097080B">
              <w:rPr>
                <w:noProof/>
                <w:webHidden/>
              </w:rPr>
              <w:tab/>
            </w:r>
            <w:r w:rsidR="0097080B">
              <w:rPr>
                <w:noProof/>
                <w:webHidden/>
              </w:rPr>
              <w:fldChar w:fldCharType="begin"/>
            </w:r>
            <w:r w:rsidR="0097080B">
              <w:rPr>
                <w:noProof/>
                <w:webHidden/>
              </w:rPr>
              <w:instrText xml:space="preserve"> PAGEREF _Toc140063083 \h </w:instrText>
            </w:r>
            <w:r w:rsidR="0097080B">
              <w:rPr>
                <w:noProof/>
                <w:webHidden/>
              </w:rPr>
            </w:r>
            <w:r w:rsidR="0097080B">
              <w:rPr>
                <w:noProof/>
                <w:webHidden/>
              </w:rPr>
              <w:fldChar w:fldCharType="separate"/>
            </w:r>
            <w:r w:rsidR="0097080B">
              <w:rPr>
                <w:noProof/>
                <w:webHidden/>
              </w:rPr>
              <w:t>1</w:t>
            </w:r>
            <w:r w:rsidR="0097080B">
              <w:rPr>
                <w:noProof/>
                <w:webHidden/>
              </w:rPr>
              <w:fldChar w:fldCharType="end"/>
            </w:r>
          </w:hyperlink>
        </w:p>
        <w:p w14:paraId="63868145" w14:textId="42D67826"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4" w:history="1">
            <w:r w:rsidR="0097080B" w:rsidRPr="004E5857">
              <w:rPr>
                <w:rStyle w:val="Hyperlink"/>
                <w:noProof/>
                <w14:scene3d>
                  <w14:camera w14:prst="orthographicFront"/>
                  <w14:lightRig w14:rig="threePt" w14:dir="t">
                    <w14:rot w14:lat="0" w14:lon="0" w14:rev="0"/>
                  </w14:lightRig>
                </w14:scene3d>
              </w:rPr>
              <w:t>Article 4:</w:t>
            </w:r>
            <w:r w:rsidR="0097080B" w:rsidRPr="004E5857">
              <w:rPr>
                <w:rStyle w:val="Hyperlink"/>
                <w:noProof/>
              </w:rPr>
              <w:t xml:space="preserve"> Conseils externes</w:t>
            </w:r>
            <w:r w:rsidR="0097080B">
              <w:rPr>
                <w:noProof/>
                <w:webHidden/>
              </w:rPr>
              <w:tab/>
            </w:r>
            <w:r w:rsidR="0097080B">
              <w:rPr>
                <w:noProof/>
                <w:webHidden/>
              </w:rPr>
              <w:fldChar w:fldCharType="begin"/>
            </w:r>
            <w:r w:rsidR="0097080B">
              <w:rPr>
                <w:noProof/>
                <w:webHidden/>
              </w:rPr>
              <w:instrText xml:space="preserve"> PAGEREF _Toc140063084 \h </w:instrText>
            </w:r>
            <w:r w:rsidR="0097080B">
              <w:rPr>
                <w:noProof/>
                <w:webHidden/>
              </w:rPr>
            </w:r>
            <w:r w:rsidR="0097080B">
              <w:rPr>
                <w:noProof/>
                <w:webHidden/>
              </w:rPr>
              <w:fldChar w:fldCharType="separate"/>
            </w:r>
            <w:r w:rsidR="0097080B">
              <w:rPr>
                <w:noProof/>
                <w:webHidden/>
              </w:rPr>
              <w:t>2</w:t>
            </w:r>
            <w:r w:rsidR="0097080B">
              <w:rPr>
                <w:noProof/>
                <w:webHidden/>
              </w:rPr>
              <w:fldChar w:fldCharType="end"/>
            </w:r>
          </w:hyperlink>
        </w:p>
        <w:p w14:paraId="3A1A1B78" w14:textId="1977FB13"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5" w:history="1">
            <w:r w:rsidR="0097080B" w:rsidRPr="004E5857">
              <w:rPr>
                <w:rStyle w:val="Hyperlink"/>
                <w:noProof/>
                <w14:scene3d>
                  <w14:camera w14:prst="orthographicFront"/>
                  <w14:lightRig w14:rig="threePt" w14:dir="t">
                    <w14:rot w14:lat="0" w14:lon="0" w14:rev="0"/>
                  </w14:lightRig>
                </w14:scene3d>
              </w:rPr>
              <w:t>Article 5:</w:t>
            </w:r>
            <w:r w:rsidR="0097080B" w:rsidRPr="004E5857">
              <w:rPr>
                <w:rStyle w:val="Hyperlink"/>
                <w:noProof/>
              </w:rPr>
              <w:t xml:space="preserve"> Portefeuille d’actifs</w:t>
            </w:r>
            <w:r w:rsidR="0097080B">
              <w:rPr>
                <w:noProof/>
                <w:webHidden/>
              </w:rPr>
              <w:tab/>
            </w:r>
            <w:r w:rsidR="0097080B">
              <w:rPr>
                <w:noProof/>
                <w:webHidden/>
              </w:rPr>
              <w:fldChar w:fldCharType="begin"/>
            </w:r>
            <w:r w:rsidR="0097080B">
              <w:rPr>
                <w:noProof/>
                <w:webHidden/>
              </w:rPr>
              <w:instrText xml:space="preserve"> PAGEREF _Toc140063085 \h </w:instrText>
            </w:r>
            <w:r w:rsidR="0097080B">
              <w:rPr>
                <w:noProof/>
                <w:webHidden/>
              </w:rPr>
            </w:r>
            <w:r w:rsidR="0097080B">
              <w:rPr>
                <w:noProof/>
                <w:webHidden/>
              </w:rPr>
              <w:fldChar w:fldCharType="separate"/>
            </w:r>
            <w:r w:rsidR="0097080B">
              <w:rPr>
                <w:noProof/>
                <w:webHidden/>
              </w:rPr>
              <w:t>2</w:t>
            </w:r>
            <w:r w:rsidR="0097080B">
              <w:rPr>
                <w:noProof/>
                <w:webHidden/>
              </w:rPr>
              <w:fldChar w:fldCharType="end"/>
            </w:r>
          </w:hyperlink>
        </w:p>
        <w:p w14:paraId="169C978C" w14:textId="6303A745"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6" w:history="1">
            <w:r w:rsidR="0097080B" w:rsidRPr="004E5857">
              <w:rPr>
                <w:rStyle w:val="Hyperlink"/>
                <w:noProof/>
                <w14:scene3d>
                  <w14:camera w14:prst="orthographicFront"/>
                  <w14:lightRig w14:rig="threePt" w14:dir="t">
                    <w14:rot w14:lat="0" w14:lon="0" w14:rev="0"/>
                  </w14:lightRig>
                </w14:scene3d>
              </w:rPr>
              <w:t>Article 6:</w:t>
            </w:r>
            <w:r w:rsidR="0097080B" w:rsidRPr="004E5857">
              <w:rPr>
                <w:rStyle w:val="Hyperlink"/>
                <w:noProof/>
              </w:rPr>
              <w:t xml:space="preserve"> Investissements autorisés</w:t>
            </w:r>
            <w:r w:rsidR="0097080B">
              <w:rPr>
                <w:noProof/>
                <w:webHidden/>
              </w:rPr>
              <w:tab/>
            </w:r>
            <w:r w:rsidR="0097080B">
              <w:rPr>
                <w:noProof/>
                <w:webHidden/>
              </w:rPr>
              <w:fldChar w:fldCharType="begin"/>
            </w:r>
            <w:r w:rsidR="0097080B">
              <w:rPr>
                <w:noProof/>
                <w:webHidden/>
              </w:rPr>
              <w:instrText xml:space="preserve"> PAGEREF _Toc140063086 \h </w:instrText>
            </w:r>
            <w:r w:rsidR="0097080B">
              <w:rPr>
                <w:noProof/>
                <w:webHidden/>
              </w:rPr>
            </w:r>
            <w:r w:rsidR="0097080B">
              <w:rPr>
                <w:noProof/>
                <w:webHidden/>
              </w:rPr>
              <w:fldChar w:fldCharType="separate"/>
            </w:r>
            <w:r w:rsidR="0097080B">
              <w:rPr>
                <w:noProof/>
                <w:webHidden/>
              </w:rPr>
              <w:t>3</w:t>
            </w:r>
            <w:r w:rsidR="0097080B">
              <w:rPr>
                <w:noProof/>
                <w:webHidden/>
              </w:rPr>
              <w:fldChar w:fldCharType="end"/>
            </w:r>
          </w:hyperlink>
        </w:p>
        <w:p w14:paraId="106E9E3E" w14:textId="54CA3829"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7" w:history="1">
            <w:r w:rsidR="0097080B" w:rsidRPr="004E5857">
              <w:rPr>
                <w:rStyle w:val="Hyperlink"/>
                <w:noProof/>
                <w14:scene3d>
                  <w14:camera w14:prst="orthographicFront"/>
                  <w14:lightRig w14:rig="threePt" w14:dir="t">
                    <w14:rot w14:lat="0" w14:lon="0" w14:rev="0"/>
                  </w14:lightRig>
                </w14:scene3d>
              </w:rPr>
              <w:t>Article 7:</w:t>
            </w:r>
            <w:r w:rsidR="0097080B" w:rsidRPr="004E5857">
              <w:rPr>
                <w:rStyle w:val="Hyperlink"/>
                <w:noProof/>
              </w:rPr>
              <w:t xml:space="preserve"> Investissements interdits</w:t>
            </w:r>
            <w:r w:rsidR="0097080B">
              <w:rPr>
                <w:noProof/>
                <w:webHidden/>
              </w:rPr>
              <w:tab/>
            </w:r>
            <w:r w:rsidR="0097080B">
              <w:rPr>
                <w:noProof/>
                <w:webHidden/>
              </w:rPr>
              <w:fldChar w:fldCharType="begin"/>
            </w:r>
            <w:r w:rsidR="0097080B">
              <w:rPr>
                <w:noProof/>
                <w:webHidden/>
              </w:rPr>
              <w:instrText xml:space="preserve"> PAGEREF _Toc140063087 \h </w:instrText>
            </w:r>
            <w:r w:rsidR="0097080B">
              <w:rPr>
                <w:noProof/>
                <w:webHidden/>
              </w:rPr>
            </w:r>
            <w:r w:rsidR="0097080B">
              <w:rPr>
                <w:noProof/>
                <w:webHidden/>
              </w:rPr>
              <w:fldChar w:fldCharType="separate"/>
            </w:r>
            <w:r w:rsidR="0097080B">
              <w:rPr>
                <w:noProof/>
                <w:webHidden/>
              </w:rPr>
              <w:t>3</w:t>
            </w:r>
            <w:r w:rsidR="0097080B">
              <w:rPr>
                <w:noProof/>
                <w:webHidden/>
              </w:rPr>
              <w:fldChar w:fldCharType="end"/>
            </w:r>
          </w:hyperlink>
        </w:p>
        <w:p w14:paraId="7EB975D4" w14:textId="03A499F8"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8" w:history="1">
            <w:r w:rsidR="0097080B" w:rsidRPr="004E5857">
              <w:rPr>
                <w:rStyle w:val="Hyperlink"/>
                <w:noProof/>
                <w14:scene3d>
                  <w14:camera w14:prst="orthographicFront"/>
                  <w14:lightRig w14:rig="threePt" w14:dir="t">
                    <w14:rot w14:lat="0" w14:lon="0" w14:rev="0"/>
                  </w14:lightRig>
                </w14:scene3d>
              </w:rPr>
              <w:t>Article 8:</w:t>
            </w:r>
            <w:r w:rsidR="0097080B" w:rsidRPr="004E5857">
              <w:rPr>
                <w:rStyle w:val="Hyperlink"/>
                <w:noProof/>
              </w:rPr>
              <w:t xml:space="preserve"> Investissement socialement responsable</w:t>
            </w:r>
            <w:r w:rsidR="0097080B">
              <w:rPr>
                <w:noProof/>
                <w:webHidden/>
              </w:rPr>
              <w:tab/>
            </w:r>
            <w:r w:rsidR="0097080B">
              <w:rPr>
                <w:noProof/>
                <w:webHidden/>
              </w:rPr>
              <w:fldChar w:fldCharType="begin"/>
            </w:r>
            <w:r w:rsidR="0097080B">
              <w:rPr>
                <w:noProof/>
                <w:webHidden/>
              </w:rPr>
              <w:instrText xml:space="preserve"> PAGEREF _Toc140063088 \h </w:instrText>
            </w:r>
            <w:r w:rsidR="0097080B">
              <w:rPr>
                <w:noProof/>
                <w:webHidden/>
              </w:rPr>
            </w:r>
            <w:r w:rsidR="0097080B">
              <w:rPr>
                <w:noProof/>
                <w:webHidden/>
              </w:rPr>
              <w:fldChar w:fldCharType="separate"/>
            </w:r>
            <w:r w:rsidR="0097080B">
              <w:rPr>
                <w:noProof/>
                <w:webHidden/>
              </w:rPr>
              <w:t>4</w:t>
            </w:r>
            <w:r w:rsidR="0097080B">
              <w:rPr>
                <w:noProof/>
                <w:webHidden/>
              </w:rPr>
              <w:fldChar w:fldCharType="end"/>
            </w:r>
          </w:hyperlink>
        </w:p>
        <w:p w14:paraId="2BEA46E5" w14:textId="51BD05B1"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89" w:history="1">
            <w:r w:rsidR="0097080B" w:rsidRPr="004E5857">
              <w:rPr>
                <w:rStyle w:val="Hyperlink"/>
                <w:noProof/>
                <w14:scene3d>
                  <w14:camera w14:prst="orthographicFront"/>
                  <w14:lightRig w14:rig="threePt" w14:dir="t">
                    <w14:rot w14:lat="0" w14:lon="0" w14:rev="0"/>
                  </w14:lightRig>
                </w14:scene3d>
              </w:rPr>
              <w:t>Article 9:</w:t>
            </w:r>
            <w:r w:rsidR="0097080B" w:rsidRPr="004E5857">
              <w:rPr>
                <w:rStyle w:val="Hyperlink"/>
                <w:noProof/>
              </w:rPr>
              <w:t xml:space="preserve"> Fonds de réserve</w:t>
            </w:r>
            <w:r w:rsidR="0097080B">
              <w:rPr>
                <w:noProof/>
                <w:webHidden/>
              </w:rPr>
              <w:tab/>
            </w:r>
            <w:r w:rsidR="0097080B">
              <w:rPr>
                <w:noProof/>
                <w:webHidden/>
              </w:rPr>
              <w:fldChar w:fldCharType="begin"/>
            </w:r>
            <w:r w:rsidR="0097080B">
              <w:rPr>
                <w:noProof/>
                <w:webHidden/>
              </w:rPr>
              <w:instrText xml:space="preserve"> PAGEREF _Toc140063089 \h </w:instrText>
            </w:r>
            <w:r w:rsidR="0097080B">
              <w:rPr>
                <w:noProof/>
                <w:webHidden/>
              </w:rPr>
            </w:r>
            <w:r w:rsidR="0097080B">
              <w:rPr>
                <w:noProof/>
                <w:webHidden/>
              </w:rPr>
              <w:fldChar w:fldCharType="separate"/>
            </w:r>
            <w:r w:rsidR="0097080B">
              <w:rPr>
                <w:noProof/>
                <w:webHidden/>
              </w:rPr>
              <w:t>4</w:t>
            </w:r>
            <w:r w:rsidR="0097080B">
              <w:rPr>
                <w:noProof/>
                <w:webHidden/>
              </w:rPr>
              <w:fldChar w:fldCharType="end"/>
            </w:r>
          </w:hyperlink>
        </w:p>
        <w:p w14:paraId="55AE82DA" w14:textId="2F256DEF"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90" w:history="1">
            <w:r w:rsidR="0097080B" w:rsidRPr="004E5857">
              <w:rPr>
                <w:rStyle w:val="Hyperlink"/>
                <w:noProof/>
                <w14:scene3d>
                  <w14:camera w14:prst="orthographicFront"/>
                  <w14:lightRig w14:rig="threePt" w14:dir="t">
                    <w14:rot w14:lat="0" w14:lon="0" w14:rev="0"/>
                  </w14:lightRig>
                </w14:scene3d>
              </w:rPr>
              <w:t>Article 10:</w:t>
            </w:r>
            <w:r w:rsidR="0097080B" w:rsidRPr="004E5857">
              <w:rPr>
                <w:rStyle w:val="Hyperlink"/>
                <w:noProof/>
              </w:rPr>
              <w:t xml:space="preserve"> Gestion de la politique</w:t>
            </w:r>
            <w:r w:rsidR="0097080B">
              <w:rPr>
                <w:noProof/>
                <w:webHidden/>
              </w:rPr>
              <w:tab/>
            </w:r>
            <w:r w:rsidR="0097080B">
              <w:rPr>
                <w:noProof/>
                <w:webHidden/>
              </w:rPr>
              <w:fldChar w:fldCharType="begin"/>
            </w:r>
            <w:r w:rsidR="0097080B">
              <w:rPr>
                <w:noProof/>
                <w:webHidden/>
              </w:rPr>
              <w:instrText xml:space="preserve"> PAGEREF _Toc140063090 \h </w:instrText>
            </w:r>
            <w:r w:rsidR="0097080B">
              <w:rPr>
                <w:noProof/>
                <w:webHidden/>
              </w:rPr>
            </w:r>
            <w:r w:rsidR="0097080B">
              <w:rPr>
                <w:noProof/>
                <w:webHidden/>
              </w:rPr>
              <w:fldChar w:fldCharType="separate"/>
            </w:r>
            <w:r w:rsidR="0097080B">
              <w:rPr>
                <w:noProof/>
                <w:webHidden/>
              </w:rPr>
              <w:t>5</w:t>
            </w:r>
            <w:r w:rsidR="0097080B">
              <w:rPr>
                <w:noProof/>
                <w:webHidden/>
              </w:rPr>
              <w:fldChar w:fldCharType="end"/>
            </w:r>
          </w:hyperlink>
        </w:p>
        <w:p w14:paraId="22DEBFDC" w14:textId="07775133"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91" w:history="1">
            <w:r w:rsidR="0097080B" w:rsidRPr="004E5857">
              <w:rPr>
                <w:rStyle w:val="Hyperlink"/>
                <w:noProof/>
              </w:rPr>
              <w:t>Annexe A : Glossaire</w:t>
            </w:r>
            <w:r w:rsidR="0097080B">
              <w:rPr>
                <w:noProof/>
                <w:webHidden/>
              </w:rPr>
              <w:tab/>
            </w:r>
            <w:r w:rsidR="0097080B">
              <w:rPr>
                <w:noProof/>
                <w:webHidden/>
              </w:rPr>
              <w:fldChar w:fldCharType="begin"/>
            </w:r>
            <w:r w:rsidR="0097080B">
              <w:rPr>
                <w:noProof/>
                <w:webHidden/>
              </w:rPr>
              <w:instrText xml:space="preserve"> PAGEREF _Toc140063091 \h </w:instrText>
            </w:r>
            <w:r w:rsidR="0097080B">
              <w:rPr>
                <w:noProof/>
                <w:webHidden/>
              </w:rPr>
            </w:r>
            <w:r w:rsidR="0097080B">
              <w:rPr>
                <w:noProof/>
                <w:webHidden/>
              </w:rPr>
              <w:fldChar w:fldCharType="separate"/>
            </w:r>
            <w:r w:rsidR="0097080B">
              <w:rPr>
                <w:noProof/>
                <w:webHidden/>
              </w:rPr>
              <w:t>7</w:t>
            </w:r>
            <w:r w:rsidR="0097080B">
              <w:rPr>
                <w:noProof/>
                <w:webHidden/>
              </w:rPr>
              <w:fldChar w:fldCharType="end"/>
            </w:r>
          </w:hyperlink>
        </w:p>
        <w:p w14:paraId="56732C85" w14:textId="2C53A3E8"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92" w:history="1">
            <w:r w:rsidR="0097080B" w:rsidRPr="004E5857">
              <w:rPr>
                <w:rStyle w:val="Hyperlink"/>
                <w:noProof/>
              </w:rPr>
              <w:t>Annexe B : Portefeuille d’actifs</w:t>
            </w:r>
            <w:r w:rsidR="0097080B">
              <w:rPr>
                <w:noProof/>
                <w:webHidden/>
              </w:rPr>
              <w:tab/>
            </w:r>
            <w:r w:rsidR="0097080B">
              <w:rPr>
                <w:noProof/>
                <w:webHidden/>
              </w:rPr>
              <w:fldChar w:fldCharType="begin"/>
            </w:r>
            <w:r w:rsidR="0097080B">
              <w:rPr>
                <w:noProof/>
                <w:webHidden/>
              </w:rPr>
              <w:instrText xml:space="preserve"> PAGEREF _Toc140063092 \h </w:instrText>
            </w:r>
            <w:r w:rsidR="0097080B">
              <w:rPr>
                <w:noProof/>
                <w:webHidden/>
              </w:rPr>
            </w:r>
            <w:r w:rsidR="0097080B">
              <w:rPr>
                <w:noProof/>
                <w:webHidden/>
              </w:rPr>
              <w:fldChar w:fldCharType="separate"/>
            </w:r>
            <w:r w:rsidR="0097080B">
              <w:rPr>
                <w:noProof/>
                <w:webHidden/>
              </w:rPr>
              <w:t>10</w:t>
            </w:r>
            <w:r w:rsidR="0097080B">
              <w:rPr>
                <w:noProof/>
                <w:webHidden/>
              </w:rPr>
              <w:fldChar w:fldCharType="end"/>
            </w:r>
          </w:hyperlink>
        </w:p>
        <w:p w14:paraId="1B7FBCBD" w14:textId="0639CD6A" w:rsidR="0097080B" w:rsidRDefault="00000000">
          <w:pPr>
            <w:pStyle w:val="TOC1"/>
            <w:tabs>
              <w:tab w:val="right" w:leader="dot" w:pos="9550"/>
            </w:tabs>
            <w:rPr>
              <w:rFonts w:asciiTheme="minorHAnsi" w:eastAsiaTheme="minorEastAsia" w:hAnsiTheme="minorHAnsi"/>
              <w:noProof/>
              <w:kern w:val="2"/>
              <w:sz w:val="22"/>
              <w:szCs w:val="22"/>
              <w:lang w:val="en-CA" w:eastAsia="en-CA"/>
              <w14:ligatures w14:val="standardContextual"/>
            </w:rPr>
          </w:pPr>
          <w:hyperlink w:anchor="_Toc140063093" w:history="1">
            <w:r w:rsidR="0097080B" w:rsidRPr="004E5857">
              <w:rPr>
                <w:rStyle w:val="Hyperlink"/>
                <w:noProof/>
              </w:rPr>
              <w:t>Annexe C :  Normes de performance</w:t>
            </w:r>
            <w:r w:rsidR="0097080B">
              <w:rPr>
                <w:noProof/>
                <w:webHidden/>
              </w:rPr>
              <w:tab/>
            </w:r>
            <w:r w:rsidR="0097080B">
              <w:rPr>
                <w:noProof/>
                <w:webHidden/>
              </w:rPr>
              <w:fldChar w:fldCharType="begin"/>
            </w:r>
            <w:r w:rsidR="0097080B">
              <w:rPr>
                <w:noProof/>
                <w:webHidden/>
              </w:rPr>
              <w:instrText xml:space="preserve"> PAGEREF _Toc140063093 \h </w:instrText>
            </w:r>
            <w:r w:rsidR="0097080B">
              <w:rPr>
                <w:noProof/>
                <w:webHidden/>
              </w:rPr>
            </w:r>
            <w:r w:rsidR="0097080B">
              <w:rPr>
                <w:noProof/>
                <w:webHidden/>
              </w:rPr>
              <w:fldChar w:fldCharType="separate"/>
            </w:r>
            <w:r w:rsidR="0097080B">
              <w:rPr>
                <w:noProof/>
                <w:webHidden/>
              </w:rPr>
              <w:t>11</w:t>
            </w:r>
            <w:r w:rsidR="0097080B">
              <w:rPr>
                <w:noProof/>
                <w:webHidden/>
              </w:rPr>
              <w:fldChar w:fldCharType="end"/>
            </w:r>
          </w:hyperlink>
        </w:p>
        <w:p w14:paraId="13A128F2" w14:textId="0E787102" w:rsidR="009071D7" w:rsidRPr="00992817" w:rsidRDefault="00383451" w:rsidP="00834B97">
          <w:pPr>
            <w:widowControl/>
            <w:sectPr w:rsidR="009071D7" w:rsidRPr="00992817">
              <w:headerReference w:type="even" r:id="rId8"/>
              <w:headerReference w:type="default" r:id="rId9"/>
              <w:footerReference w:type="even" r:id="rId10"/>
              <w:footerReference w:type="default" r:id="rId11"/>
              <w:headerReference w:type="first" r:id="rId12"/>
              <w:footerReference w:type="first" r:id="rId13"/>
              <w:pgSz w:w="12240" w:h="15840"/>
              <w:pgMar w:top="1420" w:right="1340" w:bottom="280" w:left="1340" w:header="720" w:footer="720" w:gutter="0"/>
              <w:cols w:space="720"/>
            </w:sectPr>
          </w:pPr>
          <w:r w:rsidRPr="00992817">
            <w:fldChar w:fldCharType="end"/>
          </w:r>
        </w:p>
      </w:sdtContent>
    </w:sdt>
    <w:p w14:paraId="28AC8FF3" w14:textId="7424A7E9" w:rsidR="009071D7" w:rsidRPr="00367F7B" w:rsidRDefault="00CB4D74" w:rsidP="009A2C8D">
      <w:pPr>
        <w:pStyle w:val="Heading1"/>
        <w:spacing w:line="276" w:lineRule="auto"/>
        <w:ind w:left="142" w:firstLine="0"/>
      </w:pPr>
      <w:bookmarkStart w:id="6" w:name="_bookmark0"/>
      <w:bookmarkEnd w:id="6"/>
      <w:r>
        <w:lastRenderedPageBreak/>
        <w:tab/>
      </w:r>
      <w:bookmarkStart w:id="7" w:name="_Toc140063081"/>
      <w:r>
        <w:t>À propos de cette politique</w:t>
      </w:r>
      <w:bookmarkEnd w:id="7"/>
    </w:p>
    <w:p w14:paraId="51B6D03A" w14:textId="72776B29" w:rsidR="00DC6E07" w:rsidRDefault="00E6601F" w:rsidP="009A2C8D">
      <w:pPr>
        <w:pStyle w:val="List"/>
        <w:spacing w:line="276" w:lineRule="auto"/>
        <w:ind w:left="709" w:hanging="567"/>
      </w:pPr>
      <w:r>
        <w:t xml:space="preserve">Cette politique définit les règles d’investissement des réserves et des autres fonds de [nom légal de la coopérative] (« la coopérative »). </w:t>
      </w:r>
    </w:p>
    <w:p w14:paraId="6D5F1583" w14:textId="26732E59" w:rsidR="009071D7" w:rsidRPr="00C57D54" w:rsidRDefault="00DC6E07" w:rsidP="009A2C8D">
      <w:pPr>
        <w:pStyle w:val="List"/>
        <w:spacing w:line="276" w:lineRule="auto"/>
        <w:ind w:left="709" w:hanging="567"/>
      </w:pPr>
      <w:r>
        <w:t>Ces règles ont préséance sur toute autre politique de la coopérative. Cependant, elles n’ont pas préséance sur les règles d’investissement qui s’appliquent à la coopérative en vertu de la législation ou d’un accord avec le gouvernement.</w:t>
      </w:r>
    </w:p>
    <w:p w14:paraId="73C937A0" w14:textId="3D4E4934" w:rsidR="009071D7" w:rsidRPr="00343FDA" w:rsidRDefault="00CB4D74" w:rsidP="009A2C8D">
      <w:pPr>
        <w:pStyle w:val="Heading1"/>
        <w:widowControl/>
        <w:spacing w:line="276" w:lineRule="auto"/>
        <w:ind w:left="142" w:firstLine="0"/>
      </w:pPr>
      <w:bookmarkStart w:id="8" w:name="Article_2:_Introduction_and_special_mean"/>
      <w:bookmarkEnd w:id="8"/>
      <w:r>
        <w:tab/>
      </w:r>
      <w:bookmarkStart w:id="9" w:name="_Toc140063082"/>
      <w:r>
        <w:t>Introduction</w:t>
      </w:r>
      <w:bookmarkEnd w:id="9"/>
    </w:p>
    <w:p w14:paraId="0967EAD7" w14:textId="3B5A949B" w:rsidR="00615C9A" w:rsidRPr="00615C9A" w:rsidRDefault="00383451" w:rsidP="009A2C8D">
      <w:pPr>
        <w:pStyle w:val="List"/>
        <w:widowControl/>
        <w:spacing w:line="276" w:lineRule="auto"/>
        <w:ind w:left="142"/>
      </w:pPr>
      <w:r>
        <w:t xml:space="preserve">La coopérative peut investir : </w:t>
      </w:r>
    </w:p>
    <w:p w14:paraId="72A8FB5E" w14:textId="77777777" w:rsidR="00F93F5F" w:rsidRDefault="00383451" w:rsidP="009A2C8D">
      <w:pPr>
        <w:pStyle w:val="BodyText"/>
        <w:widowControl/>
        <w:numPr>
          <w:ilvl w:val="2"/>
          <w:numId w:val="13"/>
        </w:numPr>
        <w:tabs>
          <w:tab w:val="left" w:pos="1147"/>
        </w:tabs>
        <w:spacing w:line="276" w:lineRule="auto"/>
        <w:ind w:left="1134" w:hanging="425"/>
        <w:rPr>
          <w:spacing w:val="1"/>
        </w:rPr>
      </w:pPr>
      <w:proofErr w:type="gramStart"/>
      <w:r>
        <w:t>la</w:t>
      </w:r>
      <w:proofErr w:type="gramEnd"/>
      <w:r>
        <w:t xml:space="preserve"> réserve pour le remplacement des immobilisations;</w:t>
      </w:r>
    </w:p>
    <w:p w14:paraId="57C02701" w14:textId="57396462" w:rsidR="00F93F5F" w:rsidRDefault="00266DE9" w:rsidP="009A2C8D">
      <w:pPr>
        <w:pStyle w:val="BodyText"/>
        <w:widowControl/>
        <w:numPr>
          <w:ilvl w:val="2"/>
          <w:numId w:val="13"/>
        </w:numPr>
        <w:tabs>
          <w:tab w:val="left" w:pos="1147"/>
        </w:tabs>
        <w:spacing w:line="276" w:lineRule="auto"/>
        <w:ind w:left="1134" w:hanging="425"/>
        <w:rPr>
          <w:spacing w:val="1"/>
        </w:rPr>
      </w:pPr>
      <w:proofErr w:type="gramStart"/>
      <w:r>
        <w:t>les</w:t>
      </w:r>
      <w:proofErr w:type="gramEnd"/>
      <w:r>
        <w:t xml:space="preserve"> [parts sociales], les [prêts aux membres] et les [dépôts des membres];</w:t>
      </w:r>
    </w:p>
    <w:p w14:paraId="01A533E6" w14:textId="11D1E2C0" w:rsidR="00615C9A" w:rsidRPr="00F93F5F" w:rsidRDefault="00992817" w:rsidP="009A2C8D">
      <w:pPr>
        <w:pStyle w:val="BodyText"/>
        <w:widowControl/>
        <w:numPr>
          <w:ilvl w:val="2"/>
          <w:numId w:val="13"/>
        </w:numPr>
        <w:tabs>
          <w:tab w:val="left" w:pos="1147"/>
        </w:tabs>
        <w:spacing w:after="240" w:line="276" w:lineRule="auto"/>
        <w:ind w:left="1134" w:hanging="425"/>
        <w:rPr>
          <w:spacing w:val="1"/>
        </w:rPr>
      </w:pPr>
      <w:proofErr w:type="gramStart"/>
      <w:r>
        <w:t>d’autres</w:t>
      </w:r>
      <w:proofErr w:type="gramEnd"/>
      <w:r>
        <w:t xml:space="preserve"> fonds qui sont excédentaires par rapport aux besoins quotidiens de la coopérative.</w:t>
      </w:r>
    </w:p>
    <w:p w14:paraId="39C4AC90" w14:textId="77777777" w:rsidR="009071D7" w:rsidRPr="00992817" w:rsidRDefault="00383451" w:rsidP="009A2C8D">
      <w:pPr>
        <w:pStyle w:val="List"/>
        <w:widowControl/>
        <w:spacing w:line="276" w:lineRule="auto"/>
        <w:ind w:left="709" w:hanging="567"/>
      </w:pPr>
      <w:r>
        <w:t>La coopérative souhaite investir cet argent afin :</w:t>
      </w:r>
    </w:p>
    <w:p w14:paraId="491CD805" w14:textId="77777777" w:rsidR="009071D7" w:rsidRPr="009A2C8D" w:rsidRDefault="00383451" w:rsidP="009A2C8D">
      <w:pPr>
        <w:pStyle w:val="BodyText"/>
        <w:widowControl/>
        <w:numPr>
          <w:ilvl w:val="2"/>
          <w:numId w:val="13"/>
        </w:numPr>
        <w:tabs>
          <w:tab w:val="left" w:pos="1147"/>
        </w:tabs>
        <w:spacing w:line="276" w:lineRule="auto"/>
        <w:ind w:left="1134" w:hanging="425"/>
        <w:rPr>
          <w:spacing w:val="1"/>
        </w:rPr>
      </w:pPr>
      <w:proofErr w:type="gramStart"/>
      <w:r>
        <w:t>d’entretenir</w:t>
      </w:r>
      <w:proofErr w:type="gramEnd"/>
      <w:r>
        <w:t xml:space="preserve"> et de préserver les logements de ses membres;</w:t>
      </w:r>
    </w:p>
    <w:p w14:paraId="72981699" w14:textId="77777777" w:rsidR="009071D7" w:rsidRPr="009A2C8D" w:rsidRDefault="00A42B78" w:rsidP="009A2C8D">
      <w:pPr>
        <w:pStyle w:val="BodyText"/>
        <w:widowControl/>
        <w:numPr>
          <w:ilvl w:val="2"/>
          <w:numId w:val="13"/>
        </w:numPr>
        <w:tabs>
          <w:tab w:val="left" w:pos="1147"/>
        </w:tabs>
        <w:spacing w:after="240" w:line="276" w:lineRule="auto"/>
        <w:ind w:left="1134" w:hanging="425"/>
        <w:rPr>
          <w:spacing w:val="1"/>
        </w:rPr>
      </w:pPr>
      <w:proofErr w:type="gramStart"/>
      <w:r>
        <w:t>de</w:t>
      </w:r>
      <w:proofErr w:type="gramEnd"/>
      <w:r>
        <w:t xml:space="preserve"> gagner un revenu pour répondre à d’autres besoins de la coopérative.</w:t>
      </w:r>
    </w:p>
    <w:p w14:paraId="4FA7E32B" w14:textId="77777777" w:rsidR="009071D7" w:rsidRPr="00992817" w:rsidRDefault="00383451" w:rsidP="009A2C8D">
      <w:pPr>
        <w:pStyle w:val="List"/>
        <w:spacing w:line="276" w:lineRule="auto"/>
        <w:ind w:left="709" w:hanging="567"/>
      </w:pPr>
      <w:r>
        <w:t>La coopérative est un organisme à but non lucratif. Elle ne paie pas d’impôt sur ses revenus d’investissement.</w:t>
      </w:r>
    </w:p>
    <w:p w14:paraId="76C2BE90" w14:textId="23D7D9F9" w:rsidR="00554B54" w:rsidRDefault="00383451" w:rsidP="00DF1FBE">
      <w:pPr>
        <w:pStyle w:val="List"/>
        <w:widowControl/>
        <w:spacing w:line="276" w:lineRule="auto"/>
        <w:ind w:left="709" w:hanging="567"/>
      </w:pPr>
      <w:r>
        <w:t xml:space="preserve">Certains mots de la présente politique sont définis à l’annexe A. </w:t>
      </w:r>
      <w:commentRangeStart w:id="10"/>
      <w:r>
        <w:t xml:space="preserve">Ces mots commencent par des lettres majuscules. </w:t>
      </w:r>
      <w:commentRangeEnd w:id="10"/>
      <w:r w:rsidR="0097080B">
        <w:rPr>
          <w:rStyle w:val="CommentReference"/>
        </w:rPr>
        <w:commentReference w:id="10"/>
      </w:r>
    </w:p>
    <w:p w14:paraId="43DD096B" w14:textId="4FDA7FDB" w:rsidR="009071D7" w:rsidRPr="00992817" w:rsidRDefault="00CB4D74" w:rsidP="009A2C8D">
      <w:pPr>
        <w:pStyle w:val="Heading1"/>
        <w:widowControl/>
        <w:spacing w:line="276" w:lineRule="auto"/>
        <w:ind w:left="142" w:firstLine="0"/>
      </w:pPr>
      <w:bookmarkStart w:id="11" w:name="Article_3:_Administration"/>
      <w:bookmarkStart w:id="12" w:name="Article_4:_Investment_objectives"/>
      <w:bookmarkEnd w:id="11"/>
      <w:bookmarkEnd w:id="12"/>
      <w:r>
        <w:tab/>
      </w:r>
      <w:bookmarkStart w:id="13" w:name="_Toc140063083"/>
      <w:r>
        <w:t>Objectifs d’investissement</w:t>
      </w:r>
      <w:bookmarkEnd w:id="13"/>
    </w:p>
    <w:p w14:paraId="11BF2504" w14:textId="77777777" w:rsidR="00CE57A2" w:rsidRPr="00992817" w:rsidRDefault="00383451" w:rsidP="00DF1FBE">
      <w:pPr>
        <w:pStyle w:val="List"/>
        <w:widowControl/>
        <w:spacing w:line="276" w:lineRule="auto"/>
        <w:ind w:left="709" w:hanging="567"/>
      </w:pPr>
      <w:r>
        <w:t>Les objectifs d’investissement de la coopérative sont les suivants :</w:t>
      </w:r>
    </w:p>
    <w:p w14:paraId="6CFBC771" w14:textId="2BE38283" w:rsidR="00622E0F" w:rsidRDefault="001A5F09" w:rsidP="009A2C8D">
      <w:pPr>
        <w:pStyle w:val="List2"/>
        <w:widowControl/>
        <w:spacing w:line="276" w:lineRule="auto"/>
        <w:ind w:left="1276" w:hanging="567"/>
      </w:pPr>
      <w:proofErr w:type="gramStart"/>
      <w:r>
        <w:t>faire</w:t>
      </w:r>
      <w:proofErr w:type="gramEnd"/>
      <w:r>
        <w:t xml:space="preserve"> de l’argent sur sa réserve pour le remplacement des immobilisations et sur d’autres fonds qui ne sont pas nécessaires à l’utilisation quotidienne;</w:t>
      </w:r>
    </w:p>
    <w:p w14:paraId="5235EAEE" w14:textId="3AA79A0D" w:rsidR="009071D7" w:rsidRPr="009D276D" w:rsidRDefault="00383451" w:rsidP="009A2C8D">
      <w:pPr>
        <w:pStyle w:val="List2"/>
        <w:widowControl/>
        <w:spacing w:line="276" w:lineRule="auto"/>
        <w:ind w:left="1276" w:hanging="567"/>
      </w:pPr>
      <w:proofErr w:type="gramStart"/>
      <w:r>
        <w:t>investir</w:t>
      </w:r>
      <w:proofErr w:type="gramEnd"/>
      <w:r>
        <w:t xml:space="preserve"> ses fonds en tenant compte des besoins actuels et futurs de la coopérative;</w:t>
      </w:r>
    </w:p>
    <w:p w14:paraId="79828ADE" w14:textId="77777777" w:rsidR="003E1880" w:rsidRPr="009D276D" w:rsidRDefault="003E1880" w:rsidP="009A2C8D">
      <w:pPr>
        <w:pStyle w:val="List2"/>
        <w:widowControl/>
        <w:spacing w:line="276" w:lineRule="auto"/>
        <w:ind w:left="1276" w:hanging="567"/>
      </w:pPr>
      <w:proofErr w:type="gramStart"/>
      <w:r>
        <w:t>veiller</w:t>
      </w:r>
      <w:proofErr w:type="gramEnd"/>
      <w:r>
        <w:t xml:space="preserve"> à ce que la coopérative dispose toujours de liquidité suffisante;</w:t>
      </w:r>
    </w:p>
    <w:p w14:paraId="020E436B" w14:textId="77777777" w:rsidR="00575B05" w:rsidRDefault="00383451" w:rsidP="009A2C8D">
      <w:pPr>
        <w:pStyle w:val="List2"/>
        <w:widowControl/>
        <w:spacing w:line="276" w:lineRule="auto"/>
        <w:ind w:left="1276" w:hanging="567"/>
      </w:pPr>
      <w:proofErr w:type="gramStart"/>
      <w:r>
        <w:t>réaliser</w:t>
      </w:r>
      <w:proofErr w:type="gramEnd"/>
      <w:r>
        <w:t xml:space="preserve"> des investissements éthiques et respectueux de l’environnement;</w:t>
      </w:r>
    </w:p>
    <w:p w14:paraId="201661C2" w14:textId="026EF255" w:rsidR="00924A01" w:rsidRPr="00924A01" w:rsidRDefault="00575B05" w:rsidP="00575B05">
      <w:pPr>
        <w:pStyle w:val="List2"/>
        <w:widowControl/>
        <w:spacing w:line="276" w:lineRule="auto"/>
        <w:ind w:left="1276" w:hanging="567"/>
      </w:pPr>
      <w:proofErr w:type="gramStart"/>
      <w:r>
        <w:t>obtenir</w:t>
      </w:r>
      <w:proofErr w:type="gramEnd"/>
      <w:r>
        <w:t xml:space="preserve"> un bon taux de rendement sans prendre de risques excessifs.</w:t>
      </w:r>
    </w:p>
    <w:p w14:paraId="15B113BD" w14:textId="6E6D786C" w:rsidR="00924A01" w:rsidRPr="00992817" w:rsidRDefault="00924A01" w:rsidP="009A2C8D">
      <w:pPr>
        <w:pStyle w:val="Heading1"/>
        <w:widowControl/>
        <w:spacing w:line="276" w:lineRule="auto"/>
        <w:ind w:left="142" w:firstLine="0"/>
      </w:pPr>
      <w:bookmarkStart w:id="14" w:name="Article_6:_External_investment_manager"/>
      <w:bookmarkEnd w:id="14"/>
      <w:r>
        <w:lastRenderedPageBreak/>
        <w:tab/>
      </w:r>
      <w:bookmarkStart w:id="15" w:name="_Toc140063084"/>
      <w:r>
        <w:t>Conseils externes</w:t>
      </w:r>
      <w:bookmarkEnd w:id="15"/>
    </w:p>
    <w:p w14:paraId="454EFF58" w14:textId="75536A76" w:rsidR="00924A01" w:rsidRPr="00422473" w:rsidRDefault="00924A01" w:rsidP="00DF1FBE">
      <w:pPr>
        <w:pStyle w:val="List"/>
        <w:widowControl/>
        <w:spacing w:line="276" w:lineRule="auto"/>
        <w:ind w:left="709" w:hanging="567"/>
      </w:pPr>
      <w:r>
        <w:t>La coopérative fera appel aux services d’un ou de plusieurs conseillers externes en investissement. Encasa Financial fait partie de ces conseillers. Encasa peut fournir des conseils d’investissement sur ses fonds Encasa.</w:t>
      </w:r>
    </w:p>
    <w:p w14:paraId="52DEC2AF" w14:textId="5506A209" w:rsidR="0025663F" w:rsidRDefault="006052B4" w:rsidP="00DF1FBE">
      <w:pPr>
        <w:pStyle w:val="List"/>
        <w:spacing w:line="276" w:lineRule="auto"/>
        <w:ind w:left="709" w:hanging="567"/>
      </w:pPr>
      <w:r>
        <w:t>Les conseillers externes en investissement de la coopérative doivent être extérieurs à la coopérative. Ils ne peuvent être liés par le sang, le mariage, l’adoption ou de toute autre manière à un membre du conseil d’administration.</w:t>
      </w:r>
    </w:p>
    <w:p w14:paraId="7A830444" w14:textId="685BBD4F" w:rsidR="00A76E6F" w:rsidRDefault="00A76E6F" w:rsidP="00DF1FBE">
      <w:pPr>
        <w:pStyle w:val="List"/>
        <w:spacing w:line="276" w:lineRule="auto"/>
        <w:ind w:left="709" w:hanging="567"/>
      </w:pPr>
      <w:r>
        <w:t>Les conseillers externes en investissement de la coopérative doivent connaître et saisir les finances et les objectifs d’investissement de la coopérative et être prêts à collaborer avec la coopérative pour atteindre ces objectifs.</w:t>
      </w:r>
    </w:p>
    <w:p w14:paraId="4AE12CF8" w14:textId="098B4B41" w:rsidR="00E22840" w:rsidRDefault="0025663F" w:rsidP="00DF1FBE">
      <w:pPr>
        <w:pStyle w:val="List"/>
        <w:spacing w:line="276" w:lineRule="auto"/>
        <w:ind w:left="709" w:hanging="567"/>
      </w:pPr>
      <w:r>
        <w:t xml:space="preserve">La coopérative doit informer ses conseillers externes en investissement de cette politique. </w:t>
      </w:r>
    </w:p>
    <w:p w14:paraId="3B8702A1" w14:textId="77777777" w:rsidR="00F754D9" w:rsidRPr="008870CD" w:rsidRDefault="00F754D9" w:rsidP="009A2C8D">
      <w:pPr>
        <w:pStyle w:val="Heading1"/>
        <w:widowControl/>
        <w:spacing w:line="276" w:lineRule="auto"/>
        <w:ind w:left="142" w:firstLine="0"/>
      </w:pPr>
      <w:r>
        <w:tab/>
      </w:r>
      <w:bookmarkStart w:id="16" w:name="_Toc140063085"/>
      <w:r>
        <w:t>Portefeuille d’actifs</w:t>
      </w:r>
      <w:bookmarkEnd w:id="16"/>
    </w:p>
    <w:p w14:paraId="4EFBC206" w14:textId="43218CC2" w:rsidR="00B573C7" w:rsidRDefault="003839B8" w:rsidP="00DF1FBE">
      <w:pPr>
        <w:pStyle w:val="List"/>
        <w:widowControl/>
        <w:spacing w:line="276" w:lineRule="auto"/>
        <w:ind w:left="709" w:hanging="567"/>
      </w:pPr>
      <w:r>
        <w:t>La coopérative équilibrera le risque d’investissement et le taux de rendement en détenant un portefeuille de titres.</w:t>
      </w:r>
    </w:p>
    <w:p w14:paraId="457CC0D7" w14:textId="4035B60B" w:rsidR="00F754D9" w:rsidRPr="00A55C01" w:rsidRDefault="003839B8" w:rsidP="00DF1FBE">
      <w:pPr>
        <w:pStyle w:val="List"/>
        <w:widowControl/>
        <w:spacing w:line="276" w:lineRule="auto"/>
        <w:ind w:left="709" w:hanging="567"/>
      </w:pPr>
      <w:r>
        <w:t xml:space="preserve"> Les investissements seront répartis entre les différentes classes d’actifs sur la base :</w:t>
      </w:r>
    </w:p>
    <w:p w14:paraId="5DFED697" w14:textId="1035F9FB" w:rsidR="00EE7525" w:rsidRPr="003839B8" w:rsidRDefault="00EE7525" w:rsidP="003839B8">
      <w:pPr>
        <w:pStyle w:val="BodyText"/>
        <w:widowControl/>
        <w:numPr>
          <w:ilvl w:val="2"/>
          <w:numId w:val="13"/>
        </w:numPr>
        <w:tabs>
          <w:tab w:val="left" w:pos="1147"/>
        </w:tabs>
        <w:spacing w:line="276" w:lineRule="auto"/>
        <w:ind w:left="1134" w:hanging="425"/>
        <w:rPr>
          <w:spacing w:val="1"/>
        </w:rPr>
      </w:pPr>
      <w:proofErr w:type="gramStart"/>
      <w:r>
        <w:t>des</w:t>
      </w:r>
      <w:proofErr w:type="gramEnd"/>
      <w:r>
        <w:t xml:space="preserve"> règles indiquées à l’annexe B de la présente politique;</w:t>
      </w:r>
    </w:p>
    <w:p w14:paraId="6F1DD1E5" w14:textId="38AB803F" w:rsidR="00F754D9" w:rsidRPr="00B573C7" w:rsidRDefault="00EE7525" w:rsidP="00B573C7">
      <w:pPr>
        <w:pStyle w:val="BodyText"/>
        <w:widowControl/>
        <w:numPr>
          <w:ilvl w:val="2"/>
          <w:numId w:val="13"/>
        </w:numPr>
        <w:tabs>
          <w:tab w:val="left" w:pos="1147"/>
        </w:tabs>
        <w:spacing w:after="240" w:line="276" w:lineRule="auto"/>
        <w:ind w:left="1134" w:hanging="425"/>
        <w:rPr>
          <w:spacing w:val="1"/>
        </w:rPr>
      </w:pPr>
      <w:proofErr w:type="gramStart"/>
      <w:r>
        <w:t>du</w:t>
      </w:r>
      <w:proofErr w:type="gramEnd"/>
      <w:r>
        <w:t xml:space="preserve"> besoin de fonds liquides de la coopérative à court et à long terme.</w:t>
      </w:r>
    </w:p>
    <w:p w14:paraId="31B23E52" w14:textId="6201DFD5" w:rsidR="00F754D9" w:rsidRPr="00A55C01" w:rsidRDefault="00F754D9" w:rsidP="00DF1FBE">
      <w:pPr>
        <w:pStyle w:val="List"/>
        <w:widowControl/>
        <w:spacing w:line="276" w:lineRule="auto"/>
        <w:ind w:left="709" w:hanging="567"/>
      </w:pPr>
      <w:r>
        <w:t>Un fonds commun de placement ne peut détenir plus de 20 % du total des actifs investis. Cette règle ne s’applique pas aux investissements dans les fonds Encasa.</w:t>
      </w:r>
    </w:p>
    <w:p w14:paraId="789A3188" w14:textId="77777777" w:rsidR="007D7E0E" w:rsidRDefault="00F754D9" w:rsidP="00DF1FBE">
      <w:pPr>
        <w:pStyle w:val="List"/>
        <w:widowControl/>
        <w:spacing w:line="276" w:lineRule="auto"/>
        <w:ind w:left="709" w:hanging="567"/>
      </w:pPr>
      <w:r>
        <w:t xml:space="preserve">Un maximum de 5 % des actifs investis </w:t>
      </w:r>
      <w:proofErr w:type="gramStart"/>
      <w:r>
        <w:t>peut</w:t>
      </w:r>
      <w:proofErr w:type="gramEnd"/>
      <w:r>
        <w:t xml:space="preserve"> être détenu dans un seul titre. Cette règle ne s’applique pas : </w:t>
      </w:r>
    </w:p>
    <w:p w14:paraId="57A79C2B" w14:textId="3586D7A0" w:rsidR="007D7E0E" w:rsidRPr="00B573C7" w:rsidRDefault="007D7E0E" w:rsidP="00B573C7">
      <w:pPr>
        <w:pStyle w:val="BodyText"/>
        <w:widowControl/>
        <w:numPr>
          <w:ilvl w:val="2"/>
          <w:numId w:val="13"/>
        </w:numPr>
        <w:tabs>
          <w:tab w:val="left" w:pos="1147"/>
        </w:tabs>
        <w:spacing w:line="276" w:lineRule="auto"/>
        <w:ind w:left="1134" w:hanging="425"/>
        <w:rPr>
          <w:spacing w:val="1"/>
        </w:rPr>
      </w:pPr>
      <w:proofErr w:type="gramStart"/>
      <w:r>
        <w:t>aux</w:t>
      </w:r>
      <w:proofErr w:type="gramEnd"/>
      <w:r>
        <w:t xml:space="preserve"> produits de dépôt et les titres énumérés à l’article 6.1 (a) à (d) ci-dessous;</w:t>
      </w:r>
    </w:p>
    <w:p w14:paraId="1E0D9254" w14:textId="7D2078CE" w:rsidR="00F754D9" w:rsidRPr="00B573C7" w:rsidRDefault="007D7E0E" w:rsidP="00B573C7">
      <w:pPr>
        <w:pStyle w:val="BodyText"/>
        <w:widowControl/>
        <w:numPr>
          <w:ilvl w:val="2"/>
          <w:numId w:val="13"/>
        </w:numPr>
        <w:tabs>
          <w:tab w:val="left" w:pos="1147"/>
        </w:tabs>
        <w:spacing w:after="240" w:line="276" w:lineRule="auto"/>
        <w:ind w:left="1134" w:hanging="425"/>
        <w:rPr>
          <w:spacing w:val="1"/>
        </w:rPr>
      </w:pPr>
      <w:proofErr w:type="gramStart"/>
      <w:r>
        <w:t>à</w:t>
      </w:r>
      <w:proofErr w:type="gramEnd"/>
      <w:r>
        <w:t xml:space="preserve"> d’autres titres émis ou garantis par le gouvernement du Canada ou d’une province du Canada.</w:t>
      </w:r>
    </w:p>
    <w:p w14:paraId="535707B3" w14:textId="27CCFEE9" w:rsidR="009F5F6F" w:rsidRPr="00A55C01" w:rsidRDefault="009F5F6F" w:rsidP="009F5F6F">
      <w:pPr>
        <w:pStyle w:val="List"/>
        <w:widowControl/>
        <w:spacing w:line="276" w:lineRule="auto"/>
        <w:ind w:left="709" w:hanging="567"/>
      </w:pPr>
      <w:r>
        <w:t xml:space="preserve">Le portefeuille d’actifs de la coopérative varie en fonction de la valeur de l’actif investi. La coopérative achète ou vend des titres en fonction des besoins afin de maintenir le bon portefeuille d’actifs. Tout dépend des recommandations du conseiller externe en investissement du conseil, mais l’achat ou la vente de ces titres peut prendre du temps, notamment pour éviter ou réduire une perte en capital. </w:t>
      </w:r>
    </w:p>
    <w:p w14:paraId="72F4E4AE" w14:textId="63E0CA0C" w:rsidR="009071D7" w:rsidRPr="00992817" w:rsidRDefault="00383451" w:rsidP="009A2C8D">
      <w:pPr>
        <w:pStyle w:val="Heading1"/>
        <w:widowControl/>
        <w:spacing w:line="276" w:lineRule="auto"/>
        <w:ind w:left="142" w:firstLine="0"/>
      </w:pPr>
      <w:bookmarkStart w:id="17" w:name="Article_5:_Investments_that_are_allowed"/>
      <w:bookmarkEnd w:id="17"/>
      <w:r>
        <w:lastRenderedPageBreak/>
        <w:tab/>
      </w:r>
      <w:bookmarkStart w:id="18" w:name="_Toc140063086"/>
      <w:r>
        <w:t>Investissements autorisés</w:t>
      </w:r>
      <w:bookmarkEnd w:id="18"/>
    </w:p>
    <w:p w14:paraId="37F5EE62" w14:textId="77777777" w:rsidR="009071D7" w:rsidRPr="00992817" w:rsidRDefault="00F754D9" w:rsidP="00DF1FBE">
      <w:pPr>
        <w:pStyle w:val="List"/>
        <w:widowControl/>
        <w:spacing w:line="276" w:lineRule="auto"/>
        <w:ind w:left="709" w:hanging="567"/>
      </w:pPr>
      <w:r>
        <w:t>La coopérative peut investir dans :</w:t>
      </w:r>
    </w:p>
    <w:p w14:paraId="70C6F326" w14:textId="77777777" w:rsidR="00236A6B" w:rsidRDefault="00236A6B" w:rsidP="009A2C8D">
      <w:pPr>
        <w:pStyle w:val="List2"/>
        <w:widowControl/>
        <w:spacing w:line="276" w:lineRule="auto"/>
        <w:ind w:left="1276" w:hanging="567"/>
      </w:pPr>
      <w:proofErr w:type="gramStart"/>
      <w:r>
        <w:t>un</w:t>
      </w:r>
      <w:proofErr w:type="gramEnd"/>
      <w:r>
        <w:t xml:space="preserve"> compte </w:t>
      </w:r>
      <w:commentRangeStart w:id="19"/>
      <w:r>
        <w:t xml:space="preserve">d’un fonds d’investissement d’une habitation coopérative </w:t>
      </w:r>
      <w:commentRangeEnd w:id="19"/>
      <w:r w:rsidR="0097080B">
        <w:rPr>
          <w:rStyle w:val="CommentReference"/>
        </w:rPr>
        <w:commentReference w:id="19"/>
      </w:r>
      <w:r>
        <w:t>commandité par une fédération de coopératives d’habitation;</w:t>
      </w:r>
    </w:p>
    <w:p w14:paraId="1B6AF8EF" w14:textId="7B19A918" w:rsidR="009071D7" w:rsidRPr="009D276D" w:rsidRDefault="00F87A7D" w:rsidP="009A2C8D">
      <w:pPr>
        <w:pStyle w:val="List2"/>
        <w:widowControl/>
        <w:spacing w:line="276" w:lineRule="auto"/>
        <w:ind w:left="1276" w:hanging="567"/>
      </w:pPr>
      <w:proofErr w:type="gramStart"/>
      <w:r>
        <w:t>des</w:t>
      </w:r>
      <w:proofErr w:type="gramEnd"/>
      <w:r>
        <w:t xml:space="preserve"> dépôts auprès de coopératives de crédit, de caisses populaires, de banques à charte ou de sociétés de fiducie canadiennes, notamment pour des dépôts à terme, des certificats de placement garanti et des comptes d’épargne;  </w:t>
      </w:r>
    </w:p>
    <w:p w14:paraId="7CCAFED5" w14:textId="369AA9C5" w:rsidR="007D7E0E" w:rsidRDefault="001A5F09" w:rsidP="009A2C8D">
      <w:pPr>
        <w:pStyle w:val="List2"/>
        <w:widowControl/>
        <w:spacing w:line="276" w:lineRule="auto"/>
        <w:ind w:left="1276" w:hanging="567"/>
      </w:pPr>
      <w:proofErr w:type="gramStart"/>
      <w:r>
        <w:t>des</w:t>
      </w:r>
      <w:proofErr w:type="gramEnd"/>
      <w:r>
        <w:t xml:space="preserve"> obligations, des bons du Trésor ou d’autres titres émis ou garantis par le gouvernement du Canada ou d’une province du Canada;</w:t>
      </w:r>
    </w:p>
    <w:p w14:paraId="324DBAAA" w14:textId="375168A9" w:rsidR="00B573C7" w:rsidRDefault="00B573C7" w:rsidP="00B573C7">
      <w:pPr>
        <w:pStyle w:val="List2"/>
        <w:widowControl/>
        <w:spacing w:line="276" w:lineRule="auto"/>
        <w:ind w:left="1276" w:hanging="567"/>
      </w:pPr>
      <w:proofErr w:type="gramStart"/>
      <w:r>
        <w:t>des</w:t>
      </w:r>
      <w:proofErr w:type="gramEnd"/>
      <w:r>
        <w:t xml:space="preserve"> fonds Encasa; </w:t>
      </w:r>
    </w:p>
    <w:p w14:paraId="3AE5DF4C" w14:textId="77777777" w:rsidR="00B76C48" w:rsidRPr="009D276D" w:rsidRDefault="00AA2181" w:rsidP="009A2C8D">
      <w:pPr>
        <w:pStyle w:val="List2"/>
        <w:widowControl/>
        <w:spacing w:line="276" w:lineRule="auto"/>
        <w:ind w:left="1276" w:hanging="567"/>
      </w:pPr>
      <w:proofErr w:type="gramStart"/>
      <w:r>
        <w:t>des</w:t>
      </w:r>
      <w:proofErr w:type="gramEnd"/>
      <w:r>
        <w:t xml:space="preserve"> obligations hypothécaires du Canada;</w:t>
      </w:r>
    </w:p>
    <w:p w14:paraId="1FB42C5F" w14:textId="77777777" w:rsidR="00E759F6" w:rsidRDefault="00172A5F" w:rsidP="009A2C8D">
      <w:pPr>
        <w:pStyle w:val="List2"/>
        <w:widowControl/>
        <w:spacing w:line="276" w:lineRule="auto"/>
        <w:ind w:left="1276" w:hanging="567"/>
      </w:pPr>
      <w:proofErr w:type="gramStart"/>
      <w:r>
        <w:t>des</w:t>
      </w:r>
      <w:proofErr w:type="gramEnd"/>
      <w:r>
        <w:t xml:space="preserve"> billets à capital protégé;</w:t>
      </w:r>
    </w:p>
    <w:p w14:paraId="31063378" w14:textId="6903D651" w:rsidR="00141E9C" w:rsidRDefault="001A5F09" w:rsidP="009A2C8D">
      <w:pPr>
        <w:pStyle w:val="List2"/>
        <w:widowControl/>
        <w:spacing w:line="276" w:lineRule="auto"/>
        <w:ind w:left="1276" w:hanging="567"/>
      </w:pPr>
      <w:proofErr w:type="gramStart"/>
      <w:r>
        <w:t>des</w:t>
      </w:r>
      <w:proofErr w:type="gramEnd"/>
      <w:r>
        <w:t xml:space="preserve"> fonds communs de placement, des obligations, des actions cotées en bourse et d’autres actions achetées selon les recommandations du conseiller externe en investissement de la coopérative.</w:t>
      </w:r>
    </w:p>
    <w:p w14:paraId="55F15F81" w14:textId="54FB6E9E" w:rsidR="00141E9C" w:rsidRPr="00992817" w:rsidRDefault="00141E9C" w:rsidP="009A2C8D">
      <w:pPr>
        <w:pStyle w:val="Heading1"/>
        <w:widowControl/>
        <w:spacing w:line="276" w:lineRule="auto"/>
        <w:ind w:left="142" w:firstLine="0"/>
      </w:pPr>
      <w:r>
        <w:tab/>
      </w:r>
      <w:bookmarkStart w:id="20" w:name="_Toc140063087"/>
      <w:r>
        <w:t>Investissements interdits</w:t>
      </w:r>
      <w:bookmarkEnd w:id="20"/>
    </w:p>
    <w:p w14:paraId="27E9BAB2" w14:textId="6D4C327A" w:rsidR="000343F3" w:rsidRPr="00A9595F" w:rsidRDefault="000343F3" w:rsidP="00DF1FBE">
      <w:pPr>
        <w:pStyle w:val="List"/>
        <w:widowControl/>
        <w:spacing w:line="276" w:lineRule="auto"/>
        <w:ind w:left="709" w:hanging="567"/>
      </w:pPr>
      <w:r>
        <w:t>La coopérative n’achètera pas :</w:t>
      </w:r>
    </w:p>
    <w:p w14:paraId="4CAC088B" w14:textId="6F5C01AB" w:rsidR="000343F3" w:rsidRPr="002D5536" w:rsidRDefault="000343F3" w:rsidP="009A2C8D">
      <w:pPr>
        <w:pStyle w:val="List2"/>
        <w:widowControl/>
        <w:spacing w:line="276" w:lineRule="auto"/>
        <w:ind w:left="1276" w:hanging="567"/>
      </w:pPr>
      <w:proofErr w:type="gramStart"/>
      <w:r>
        <w:t>de</w:t>
      </w:r>
      <w:proofErr w:type="gramEnd"/>
      <w:r>
        <w:t xml:space="preserve"> dérivés, sauf en tant qu’opération de couverture par le biais d’un fonds commun de placement ou d’un fonds Encasa; </w:t>
      </w:r>
    </w:p>
    <w:p w14:paraId="7ED09A14" w14:textId="37B8F827" w:rsidR="000343F3" w:rsidRDefault="000343F3" w:rsidP="009A2C8D">
      <w:pPr>
        <w:pStyle w:val="List2"/>
        <w:widowControl/>
        <w:spacing w:line="276" w:lineRule="auto"/>
        <w:ind w:left="1276" w:hanging="567"/>
      </w:pPr>
      <w:proofErr w:type="gramStart"/>
      <w:r>
        <w:t>de</w:t>
      </w:r>
      <w:proofErr w:type="gramEnd"/>
      <w:r>
        <w:t xml:space="preserve"> métaux précieux, comme l’or ou l’argent; </w:t>
      </w:r>
    </w:p>
    <w:p w14:paraId="23B3EC73" w14:textId="77777777" w:rsidR="000343F3" w:rsidRPr="002D5536" w:rsidRDefault="000343F3" w:rsidP="009A2C8D">
      <w:pPr>
        <w:pStyle w:val="List2"/>
        <w:widowControl/>
        <w:spacing w:line="276" w:lineRule="auto"/>
        <w:ind w:left="1276" w:hanging="567"/>
      </w:pPr>
      <w:proofErr w:type="gramStart"/>
      <w:r>
        <w:t>d’objets</w:t>
      </w:r>
      <w:proofErr w:type="gramEnd"/>
      <w:r>
        <w:t xml:space="preserve"> de collection, comme des œuvres d’art ou des antiquités;</w:t>
      </w:r>
    </w:p>
    <w:p w14:paraId="4882C2EE" w14:textId="77777777" w:rsidR="000343F3" w:rsidRPr="002D5536" w:rsidRDefault="000343F3" w:rsidP="009A2C8D">
      <w:pPr>
        <w:pStyle w:val="List2"/>
        <w:widowControl/>
        <w:spacing w:line="276" w:lineRule="auto"/>
        <w:ind w:left="1276" w:hanging="567"/>
      </w:pPr>
      <w:proofErr w:type="gramStart"/>
      <w:r>
        <w:t>de</w:t>
      </w:r>
      <w:proofErr w:type="gramEnd"/>
      <w:r>
        <w:t xml:space="preserve"> biens immobiliers;</w:t>
      </w:r>
    </w:p>
    <w:p w14:paraId="5B7D056B" w14:textId="3373E70E" w:rsidR="000343F3" w:rsidRDefault="000343F3" w:rsidP="009A2C8D">
      <w:pPr>
        <w:pStyle w:val="List2"/>
        <w:widowControl/>
        <w:spacing w:line="276" w:lineRule="auto"/>
        <w:ind w:left="1276" w:hanging="567"/>
      </w:pPr>
      <w:proofErr w:type="gramStart"/>
      <w:r>
        <w:t>d’obligations</w:t>
      </w:r>
      <w:proofErr w:type="gramEnd"/>
      <w:r>
        <w:t xml:space="preserve"> qui n’ont pas une cote d’évaluation d’investissement, même si elles font partie d’un fonds commun;</w:t>
      </w:r>
    </w:p>
    <w:p w14:paraId="6645B55B" w14:textId="77777777" w:rsidR="000343F3" w:rsidRPr="002D5536" w:rsidRDefault="000343F3" w:rsidP="009A2C8D">
      <w:pPr>
        <w:pStyle w:val="List2"/>
        <w:widowControl/>
        <w:spacing w:line="276" w:lineRule="auto"/>
        <w:ind w:left="1276" w:hanging="567"/>
      </w:pPr>
      <w:proofErr w:type="gramStart"/>
      <w:r>
        <w:t>de</w:t>
      </w:r>
      <w:proofErr w:type="gramEnd"/>
      <w:r>
        <w:t xml:space="preserve"> titres adossés à des crédits immobiliers, à l’exception des obligations hypothécaires du Canada;</w:t>
      </w:r>
    </w:p>
    <w:p w14:paraId="1B4B5BF2" w14:textId="4E14D3E6" w:rsidR="000343F3" w:rsidRPr="002D5536" w:rsidRDefault="00C91784" w:rsidP="009A2C8D">
      <w:pPr>
        <w:pStyle w:val="List2"/>
        <w:widowControl/>
        <w:spacing w:line="276" w:lineRule="auto"/>
        <w:ind w:left="1276" w:hanging="567"/>
      </w:pPr>
      <w:proofErr w:type="gramStart"/>
      <w:r>
        <w:lastRenderedPageBreak/>
        <w:t>d’actions</w:t>
      </w:r>
      <w:proofErr w:type="gramEnd"/>
      <w:r>
        <w:t xml:space="preserve"> privilégiées, sauf si elles sont détenues dans un fonds commun de placement ou un fonds Encasa;</w:t>
      </w:r>
    </w:p>
    <w:p w14:paraId="35131E5E" w14:textId="37C174EE" w:rsidR="00E874DE" w:rsidRPr="00C91784" w:rsidRDefault="00C91784" w:rsidP="009A2C8D">
      <w:pPr>
        <w:pStyle w:val="List2"/>
        <w:widowControl/>
        <w:spacing w:line="276" w:lineRule="auto"/>
        <w:ind w:left="1276" w:hanging="567"/>
      </w:pPr>
      <w:proofErr w:type="gramStart"/>
      <w:r>
        <w:t>tout</w:t>
      </w:r>
      <w:proofErr w:type="gramEnd"/>
      <w:r>
        <w:t xml:space="preserve"> autre titre non mentionné à l’article 6.1.</w:t>
      </w:r>
    </w:p>
    <w:p w14:paraId="30055454" w14:textId="4CAB9FA3" w:rsidR="00F220E2" w:rsidRPr="00F93C59" w:rsidRDefault="00235D04" w:rsidP="00F220E2">
      <w:pPr>
        <w:pStyle w:val="List"/>
        <w:widowControl/>
        <w:spacing w:line="276" w:lineRule="auto"/>
        <w:ind w:left="709" w:hanging="567"/>
      </w:pPr>
      <w:r>
        <w:t xml:space="preserve">La coopérative vendra toutes les obligations qu’elle détient et qui perdent leur </w:t>
      </w:r>
      <w:proofErr w:type="gramStart"/>
      <w:r>
        <w:t>cote</w:t>
      </w:r>
      <w:proofErr w:type="gramEnd"/>
      <w:r>
        <w:t xml:space="preserve"> d’évaluation d’investissement. Tout dépend des recommandations du conseiller externe en investissement du conseil, mais la vente de ces obligations peut prendre du temps, notamment pour éviter ou réduire une perte en capital. </w:t>
      </w:r>
    </w:p>
    <w:p w14:paraId="1E1CC267" w14:textId="5780E093" w:rsidR="00235D04" w:rsidRPr="00DD5A43" w:rsidRDefault="00235D04" w:rsidP="004C40B9">
      <w:pPr>
        <w:pStyle w:val="List"/>
        <w:widowControl/>
        <w:spacing w:line="276" w:lineRule="auto"/>
        <w:ind w:left="709" w:hanging="567"/>
      </w:pPr>
      <w:r>
        <w:t>La coopérative n’empruntera pas d’argent pour lever des fonds en vue d’investir.</w:t>
      </w:r>
    </w:p>
    <w:p w14:paraId="505ABC70" w14:textId="77777777" w:rsidR="004C52D2" w:rsidRPr="00992817" w:rsidRDefault="004C52D2" w:rsidP="009A2C8D">
      <w:pPr>
        <w:pStyle w:val="Heading1"/>
        <w:widowControl/>
        <w:spacing w:line="276" w:lineRule="auto"/>
        <w:ind w:left="142" w:firstLine="0"/>
      </w:pPr>
      <w:r>
        <w:tab/>
      </w:r>
      <w:bookmarkStart w:id="21" w:name="_Toc140063088"/>
      <w:r>
        <w:t>Investissement socialement responsable</w:t>
      </w:r>
      <w:bookmarkEnd w:id="21"/>
    </w:p>
    <w:p w14:paraId="43FBF86B" w14:textId="77777777" w:rsidR="00B40CA1" w:rsidRPr="00FA1D54" w:rsidRDefault="00DD5A43" w:rsidP="00DF1FBE">
      <w:pPr>
        <w:pStyle w:val="List"/>
        <w:widowControl/>
        <w:spacing w:line="276" w:lineRule="auto"/>
        <w:ind w:left="709" w:hanging="567"/>
      </w:pPr>
      <w:r>
        <w:t xml:space="preserve">La coopérative favorisera l’investissement socialement responsable (ISR) dans la mesure où elle peut le faire tout en atteignant ses objectifs financiers. </w:t>
      </w:r>
    </w:p>
    <w:p w14:paraId="3475F1A5" w14:textId="77777777" w:rsidR="00B40CA1" w:rsidRPr="00FA1D54" w:rsidRDefault="00CC175A" w:rsidP="00DF1FBE">
      <w:pPr>
        <w:pStyle w:val="List"/>
        <w:widowControl/>
        <w:spacing w:line="276" w:lineRule="auto"/>
        <w:ind w:left="709" w:hanging="567"/>
      </w:pPr>
      <w:r>
        <w:t>La coopérative prendra en considération les investissements qui soutiennent le logement abordable, les coopératives et la protection de l’environnement.</w:t>
      </w:r>
    </w:p>
    <w:p w14:paraId="2BC41970" w14:textId="77777777" w:rsidR="00CC175A" w:rsidRPr="00FA1D54" w:rsidRDefault="00AD545A" w:rsidP="00DF1FBE">
      <w:pPr>
        <w:pStyle w:val="List"/>
        <w:widowControl/>
        <w:spacing w:line="276" w:lineRule="auto"/>
        <w:ind w:left="709" w:hanging="567"/>
      </w:pPr>
      <w:r>
        <w:t xml:space="preserve">La coopérative n’investira pas dans les titres d’entreprises dont l’activité principale est la fabrication ou la vente : </w:t>
      </w:r>
    </w:p>
    <w:p w14:paraId="1D10B701" w14:textId="77777777" w:rsidR="00CC175A" w:rsidRPr="00CC175A" w:rsidRDefault="00CC175A" w:rsidP="009A2C8D">
      <w:pPr>
        <w:pStyle w:val="List2"/>
        <w:widowControl/>
        <w:spacing w:line="276" w:lineRule="auto"/>
        <w:ind w:left="1276" w:hanging="567"/>
      </w:pPr>
      <w:proofErr w:type="gramStart"/>
      <w:r>
        <w:t>de</w:t>
      </w:r>
      <w:proofErr w:type="gramEnd"/>
      <w:r>
        <w:t xml:space="preserve"> produits du tabac;</w:t>
      </w:r>
    </w:p>
    <w:p w14:paraId="2549689F" w14:textId="77777777" w:rsidR="00455A95" w:rsidRDefault="00CC175A" w:rsidP="009A2C8D">
      <w:pPr>
        <w:pStyle w:val="List2"/>
        <w:widowControl/>
        <w:spacing w:line="276" w:lineRule="auto"/>
        <w:ind w:left="1276" w:hanging="567"/>
      </w:pPr>
      <w:proofErr w:type="gramStart"/>
      <w:r>
        <w:t>de</w:t>
      </w:r>
      <w:proofErr w:type="gramEnd"/>
      <w:r>
        <w:t xml:space="preserve"> pornographie; </w:t>
      </w:r>
    </w:p>
    <w:p w14:paraId="0C3F6BA4" w14:textId="77777777" w:rsidR="00CC175A" w:rsidRPr="00CC175A" w:rsidRDefault="00455A95" w:rsidP="009A2C8D">
      <w:pPr>
        <w:pStyle w:val="List2"/>
        <w:widowControl/>
        <w:spacing w:line="276" w:lineRule="auto"/>
        <w:ind w:left="1276" w:hanging="567"/>
      </w:pPr>
      <w:proofErr w:type="gramStart"/>
      <w:r>
        <w:t>de</w:t>
      </w:r>
      <w:proofErr w:type="gramEnd"/>
      <w:r>
        <w:t xml:space="preserve"> services de jeux d’argent;</w:t>
      </w:r>
    </w:p>
    <w:p w14:paraId="781117D0" w14:textId="77777777" w:rsidR="00CC175A" w:rsidRPr="00A60DD0" w:rsidRDefault="00CC175A" w:rsidP="009A2C8D">
      <w:pPr>
        <w:pStyle w:val="List2"/>
        <w:widowControl/>
        <w:spacing w:line="276" w:lineRule="auto"/>
        <w:ind w:left="1276" w:hanging="567"/>
      </w:pPr>
      <w:proofErr w:type="gramStart"/>
      <w:r>
        <w:t>d’armes</w:t>
      </w:r>
      <w:proofErr w:type="gramEnd"/>
      <w:r>
        <w:t xml:space="preserve"> militaires.</w:t>
      </w:r>
    </w:p>
    <w:p w14:paraId="42CB9154" w14:textId="13AF8EC1" w:rsidR="009071D7" w:rsidRPr="009B1678" w:rsidRDefault="00AD545A" w:rsidP="009A2C8D">
      <w:pPr>
        <w:pStyle w:val="BodyText"/>
        <w:widowControl/>
        <w:tabs>
          <w:tab w:val="left" w:pos="1134"/>
        </w:tabs>
        <w:spacing w:after="240" w:line="276" w:lineRule="auto"/>
        <w:ind w:left="709"/>
        <w:rPr>
          <w:spacing w:val="-1"/>
        </w:rPr>
      </w:pPr>
      <w:r>
        <w:t xml:space="preserve">La coopérative peut demander à son conseiller externe en investissement de mener d’autres évaluations de l’ISR. </w:t>
      </w:r>
    </w:p>
    <w:p w14:paraId="16932CA5" w14:textId="51042FBE" w:rsidR="009071D7" w:rsidRPr="00992817" w:rsidRDefault="0025625D" w:rsidP="009A2C8D">
      <w:pPr>
        <w:pStyle w:val="Heading1"/>
        <w:widowControl/>
        <w:spacing w:line="276" w:lineRule="auto"/>
        <w:ind w:left="142" w:firstLine="0"/>
      </w:pPr>
      <w:bookmarkStart w:id="22" w:name="Article_7:_Capital_planning_and_investme"/>
      <w:bookmarkEnd w:id="22"/>
      <w:r>
        <w:t xml:space="preserve">  </w:t>
      </w:r>
      <w:bookmarkStart w:id="23" w:name="_Toc140063089"/>
      <w:r>
        <w:t>Fonds de réserve</w:t>
      </w:r>
      <w:bookmarkEnd w:id="23"/>
    </w:p>
    <w:p w14:paraId="2724635A" w14:textId="77777777" w:rsidR="009071D7" w:rsidRPr="00C57D54" w:rsidRDefault="00C44C37" w:rsidP="009A2C8D">
      <w:pPr>
        <w:pStyle w:val="List"/>
        <w:keepNext/>
        <w:widowControl/>
        <w:spacing w:line="276" w:lineRule="auto"/>
        <w:ind w:left="703" w:hanging="561"/>
        <w:rPr>
          <w:rStyle w:val="Strong"/>
        </w:rPr>
      </w:pPr>
      <w:r>
        <w:rPr>
          <w:rStyle w:val="Strong"/>
        </w:rPr>
        <w:t>Planification des immobilisations</w:t>
      </w:r>
    </w:p>
    <w:p w14:paraId="3A042A05" w14:textId="36CA9561" w:rsidR="009071D7" w:rsidRDefault="00383451" w:rsidP="009A2C8D">
      <w:pPr>
        <w:pStyle w:val="BodyText"/>
        <w:widowControl/>
        <w:spacing w:after="240" w:line="276" w:lineRule="auto"/>
        <w:ind w:left="709"/>
      </w:pPr>
      <w:r>
        <w:t>Le conseil d’administration (le « conseil ») veillera à ce que la coopérative dispose d’un plan de remplacement des immobilisations ou d’un plan de gestion des actifs mis à jour au moins tous les cinq (5) ans. Ce plan aidera la coopérative à décider du montant qu’elle peut investir et de la durée de cet investissement.</w:t>
      </w:r>
    </w:p>
    <w:p w14:paraId="4CCCCFBE" w14:textId="083C9952" w:rsidR="008870CD" w:rsidRPr="00C57D54" w:rsidRDefault="008870CD" w:rsidP="009A2C8D">
      <w:pPr>
        <w:pStyle w:val="List"/>
        <w:keepNext/>
        <w:widowControl/>
        <w:spacing w:line="276" w:lineRule="auto"/>
        <w:ind w:left="703" w:hanging="561"/>
        <w:rPr>
          <w:rStyle w:val="Strong"/>
        </w:rPr>
      </w:pPr>
      <w:r>
        <w:rPr>
          <w:rStyle w:val="Strong"/>
        </w:rPr>
        <w:lastRenderedPageBreak/>
        <w:t>Investissement commun de fonds différents</w:t>
      </w:r>
    </w:p>
    <w:p w14:paraId="684A8244" w14:textId="17D29EA1" w:rsidR="008870CD" w:rsidRPr="008870CD" w:rsidRDefault="008870CD" w:rsidP="009A2C8D">
      <w:pPr>
        <w:pStyle w:val="BodyText"/>
        <w:widowControl/>
        <w:tabs>
          <w:tab w:val="left" w:pos="1134"/>
        </w:tabs>
        <w:spacing w:after="240" w:line="276" w:lineRule="auto"/>
        <w:ind w:left="709"/>
        <w:rPr>
          <w:spacing w:val="-1"/>
        </w:rPr>
      </w:pPr>
      <w:r>
        <w:t xml:space="preserve">La réserve pour le remplacement des immobilisations, les autres réserves et les autres fonds de la coopérative peuvent être investis ensemble. </w:t>
      </w:r>
    </w:p>
    <w:p w14:paraId="0D74472B" w14:textId="77777777" w:rsidR="00796CAD" w:rsidRPr="00C57D54" w:rsidRDefault="00796CAD" w:rsidP="009A2C8D">
      <w:pPr>
        <w:pStyle w:val="List"/>
        <w:keepNext/>
        <w:widowControl/>
        <w:spacing w:line="276" w:lineRule="auto"/>
        <w:ind w:left="703" w:hanging="561"/>
        <w:rPr>
          <w:rStyle w:val="Strong"/>
        </w:rPr>
      </w:pPr>
      <w:r>
        <w:rPr>
          <w:rStyle w:val="Strong"/>
        </w:rPr>
        <w:t>Affectation des revenus d’investissement</w:t>
      </w:r>
    </w:p>
    <w:p w14:paraId="40DAF5A4" w14:textId="374E8BF0" w:rsidR="002E1D30" w:rsidRDefault="00796CAD" w:rsidP="009A2C8D">
      <w:pPr>
        <w:pStyle w:val="BodyText"/>
        <w:widowControl/>
        <w:spacing w:after="240" w:line="276" w:lineRule="auto"/>
        <w:ind w:left="709"/>
      </w:pPr>
      <w:r>
        <w:t>Les revenus provenant de l’investissement de la réserve pour le remplacement des immobilisations ou d’autres réserves nommées seront ajoutés à la réserve en plus de l’affectation habituelle de la coopérative à la réserve.</w:t>
      </w:r>
      <w:bookmarkStart w:id="24" w:name="_Hlk63426098"/>
      <w:r>
        <w:t xml:space="preserve"> Les revenus provenant de différents fonds investis ensemble seront répartis entre les réserves et les autres fonds en fonction du capital investi dans chacun d’eux.</w:t>
      </w:r>
    </w:p>
    <w:bookmarkEnd w:id="24"/>
    <w:p w14:paraId="2CDBE966" w14:textId="77777777" w:rsidR="00FD0AEC" w:rsidRPr="00992817" w:rsidRDefault="00FD0AEC" w:rsidP="009A2C8D">
      <w:pPr>
        <w:pStyle w:val="Heading1"/>
        <w:widowControl/>
        <w:spacing w:line="276" w:lineRule="auto"/>
        <w:ind w:left="142" w:firstLine="0"/>
      </w:pPr>
      <w:r>
        <w:tab/>
      </w:r>
      <w:bookmarkStart w:id="25" w:name="_Toc140063090"/>
      <w:r>
        <w:t>Gestion de la politique</w:t>
      </w:r>
      <w:bookmarkEnd w:id="25"/>
      <w:r>
        <w:t xml:space="preserve"> </w:t>
      </w:r>
    </w:p>
    <w:p w14:paraId="0B95C666" w14:textId="74584207" w:rsidR="00FD0AEC" w:rsidRDefault="00FD0AEC" w:rsidP="00DF1FBE">
      <w:pPr>
        <w:pStyle w:val="List"/>
        <w:widowControl/>
        <w:spacing w:line="276" w:lineRule="auto"/>
        <w:ind w:left="709" w:hanging="567"/>
      </w:pPr>
      <w:r>
        <w:t>Le conseil d’administration gère cette politique.</w:t>
      </w:r>
    </w:p>
    <w:p w14:paraId="0BE8F074" w14:textId="77777777" w:rsidR="00FD0AEC" w:rsidRPr="00992817" w:rsidRDefault="00FD0AEC" w:rsidP="00DF1FBE">
      <w:pPr>
        <w:pStyle w:val="List"/>
        <w:widowControl/>
        <w:spacing w:line="276" w:lineRule="auto"/>
        <w:ind w:left="709" w:hanging="567"/>
      </w:pPr>
      <w:r>
        <w:t>Le conseil d’administration devra :</w:t>
      </w:r>
    </w:p>
    <w:p w14:paraId="025D4ADE" w14:textId="30FBEF9B" w:rsidR="00FD0AEC" w:rsidRPr="00992817" w:rsidRDefault="00FD0AEC" w:rsidP="009A2C8D">
      <w:pPr>
        <w:pStyle w:val="List2"/>
        <w:widowControl/>
        <w:spacing w:line="276" w:lineRule="auto"/>
        <w:ind w:left="1276" w:hanging="567"/>
      </w:pPr>
      <w:proofErr w:type="gramStart"/>
      <w:r>
        <w:t>s’assurer</w:t>
      </w:r>
      <w:proofErr w:type="gramEnd"/>
      <w:r>
        <w:t xml:space="preserve"> que la coopérative respecte la politique;</w:t>
      </w:r>
    </w:p>
    <w:p w14:paraId="500DC704" w14:textId="0F8B44A7" w:rsidR="00FD0AEC" w:rsidRDefault="00FD0AEC" w:rsidP="009A2C8D">
      <w:pPr>
        <w:pStyle w:val="List2"/>
        <w:widowControl/>
        <w:spacing w:line="276" w:lineRule="auto"/>
        <w:ind w:left="1276" w:hanging="567"/>
      </w:pPr>
      <w:proofErr w:type="gramStart"/>
      <w:r>
        <w:t>choisir</w:t>
      </w:r>
      <w:proofErr w:type="gramEnd"/>
      <w:r>
        <w:t xml:space="preserve"> le conseiller externe en investissement de la coopérative;  </w:t>
      </w:r>
    </w:p>
    <w:p w14:paraId="32E0728D" w14:textId="597C60CF" w:rsidR="004A5678" w:rsidRDefault="004A5678" w:rsidP="004A5678">
      <w:pPr>
        <w:pStyle w:val="List2"/>
        <w:widowControl/>
        <w:spacing w:line="276" w:lineRule="auto"/>
        <w:ind w:left="1276" w:hanging="567"/>
      </w:pPr>
      <w:r>
        <w:t xml:space="preserve"> </w:t>
      </w:r>
      <w:proofErr w:type="gramStart"/>
      <w:r>
        <w:t>décider</w:t>
      </w:r>
      <w:proofErr w:type="gramEnd"/>
      <w:r>
        <w:t xml:space="preserve"> des investissements que le personnel ou le directeur de la coopérative peut effectuer ou racheter et de ceux qui nécessitent l’approbation préalable du conseil d’administration.   Tout investissement ou rachat effectué par le personnel ou le gestionnaire de la coopérative sera signalé lors de la prochaine réunion du conseil d’administration;</w:t>
      </w:r>
    </w:p>
    <w:p w14:paraId="707B0CE1" w14:textId="435C0E93" w:rsidR="00FD0AEC" w:rsidRDefault="00FD0AEC" w:rsidP="009A2C8D">
      <w:pPr>
        <w:pStyle w:val="List2"/>
        <w:widowControl/>
        <w:spacing w:line="276" w:lineRule="auto"/>
        <w:ind w:left="1276" w:hanging="567"/>
      </w:pPr>
      <w:proofErr w:type="gramStart"/>
      <w:r>
        <w:t>revoir</w:t>
      </w:r>
      <w:proofErr w:type="gramEnd"/>
      <w:r>
        <w:t xml:space="preserve"> les investissements de la coopérative lors de l’adoption de cette politique et les modifier au besoin afin de respecter les règles de cette politique;</w:t>
      </w:r>
    </w:p>
    <w:p w14:paraId="4797A93F" w14:textId="2AB3C181" w:rsidR="00834B97" w:rsidRDefault="00FD0AEC" w:rsidP="009A2C8D">
      <w:pPr>
        <w:pStyle w:val="List2"/>
        <w:widowControl/>
        <w:spacing w:line="276" w:lineRule="auto"/>
        <w:ind w:left="1276" w:hanging="567"/>
      </w:pPr>
      <w:proofErr w:type="gramStart"/>
      <w:r>
        <w:t>recevoir</w:t>
      </w:r>
      <w:proofErr w:type="gramEnd"/>
      <w:r>
        <w:t xml:space="preserve">, au moins quatre (4) fois par an, des rapports des conseillers externes en investissement de la coopérative sur les points suivants : </w:t>
      </w:r>
    </w:p>
    <w:p w14:paraId="3BAA12D1" w14:textId="5F9A541F" w:rsidR="00FD0AEC" w:rsidRPr="00B573C7" w:rsidRDefault="00834B97" w:rsidP="00B573C7">
      <w:pPr>
        <w:pStyle w:val="BodyText"/>
        <w:widowControl/>
        <w:numPr>
          <w:ilvl w:val="2"/>
          <w:numId w:val="13"/>
        </w:numPr>
        <w:tabs>
          <w:tab w:val="left" w:pos="1147"/>
        </w:tabs>
        <w:spacing w:line="276" w:lineRule="auto"/>
        <w:ind w:left="1701" w:hanging="425"/>
        <w:rPr>
          <w:spacing w:val="1"/>
        </w:rPr>
      </w:pPr>
      <w:proofErr w:type="gramStart"/>
      <w:r>
        <w:t>la</w:t>
      </w:r>
      <w:proofErr w:type="gramEnd"/>
      <w:r>
        <w:t xml:space="preserve"> performance des investissements de la coopérative,</w:t>
      </w:r>
    </w:p>
    <w:p w14:paraId="0B0024F3" w14:textId="79335C6F" w:rsidR="00D6547A" w:rsidRPr="00B573C7" w:rsidRDefault="00D6547A" w:rsidP="00B573C7">
      <w:pPr>
        <w:pStyle w:val="BodyText"/>
        <w:widowControl/>
        <w:numPr>
          <w:ilvl w:val="2"/>
          <w:numId w:val="13"/>
        </w:numPr>
        <w:tabs>
          <w:tab w:val="left" w:pos="1147"/>
        </w:tabs>
        <w:spacing w:line="276" w:lineRule="auto"/>
        <w:ind w:left="1701" w:hanging="425"/>
        <w:rPr>
          <w:spacing w:val="1"/>
        </w:rPr>
      </w:pPr>
      <w:proofErr w:type="gramStart"/>
      <w:r>
        <w:t>l’affectation</w:t>
      </w:r>
      <w:proofErr w:type="gramEnd"/>
      <w:r>
        <w:t xml:space="preserve"> des actifs et le portefeuille d’actifs de la coopérative,</w:t>
      </w:r>
    </w:p>
    <w:p w14:paraId="76B2C893" w14:textId="0ED61DCF" w:rsidR="00D6547A" w:rsidRPr="00B573C7" w:rsidRDefault="00D6547A" w:rsidP="00B573C7">
      <w:pPr>
        <w:pStyle w:val="BodyText"/>
        <w:widowControl/>
        <w:numPr>
          <w:ilvl w:val="2"/>
          <w:numId w:val="13"/>
        </w:numPr>
        <w:tabs>
          <w:tab w:val="left" w:pos="1147"/>
        </w:tabs>
        <w:spacing w:after="240" w:line="276" w:lineRule="auto"/>
        <w:ind w:left="1701" w:hanging="425"/>
        <w:rPr>
          <w:spacing w:val="1"/>
        </w:rPr>
      </w:pPr>
      <w:proofErr w:type="gramStart"/>
      <w:r>
        <w:t>la</w:t>
      </w:r>
      <w:proofErr w:type="gramEnd"/>
      <w:r>
        <w:t xml:space="preserve"> comparaison du taux de rendement de chaque classe d’actifs avec les normes de performance de l’annexe C.</w:t>
      </w:r>
    </w:p>
    <w:p w14:paraId="06A0B82B" w14:textId="77777777" w:rsidR="00FD0AEC" w:rsidRPr="00992817" w:rsidRDefault="00FD0AEC" w:rsidP="009A2C8D">
      <w:pPr>
        <w:pStyle w:val="List2"/>
        <w:widowControl/>
        <w:spacing w:line="276" w:lineRule="auto"/>
        <w:ind w:left="1276" w:hanging="567"/>
      </w:pPr>
      <w:proofErr w:type="gramStart"/>
      <w:r>
        <w:t>faire</w:t>
      </w:r>
      <w:proofErr w:type="gramEnd"/>
      <w:r>
        <w:t xml:space="preserve"> état des investissements de la coopérative aux membres lors de chaque assemblée annuelle;</w:t>
      </w:r>
    </w:p>
    <w:p w14:paraId="5EC5EDBC" w14:textId="3511BE5F" w:rsidR="00FD0AEC" w:rsidRPr="00992817" w:rsidRDefault="00FD0AEC" w:rsidP="009A2C8D">
      <w:pPr>
        <w:pStyle w:val="List2"/>
        <w:widowControl/>
        <w:spacing w:line="276" w:lineRule="auto"/>
        <w:ind w:left="1276" w:hanging="567"/>
      </w:pPr>
      <w:proofErr w:type="gramStart"/>
      <w:r>
        <w:t>réexaminer</w:t>
      </w:r>
      <w:proofErr w:type="gramEnd"/>
      <w:r>
        <w:t xml:space="preserve"> cette politique de temps à autre et proposer des modifications si nécessaire.</w:t>
      </w:r>
    </w:p>
    <w:p w14:paraId="1FF62448" w14:textId="77777777" w:rsidR="00FD0AEC" w:rsidRPr="00796CAD" w:rsidRDefault="00FD0AEC" w:rsidP="009A2C8D">
      <w:pPr>
        <w:pStyle w:val="BodyText"/>
        <w:widowControl/>
        <w:spacing w:after="240" w:line="276" w:lineRule="auto"/>
        <w:ind w:left="709"/>
      </w:pPr>
    </w:p>
    <w:p w14:paraId="7BCAA369" w14:textId="77777777" w:rsidR="0001587C" w:rsidRPr="00992817" w:rsidRDefault="0001587C" w:rsidP="009A2C8D">
      <w:pPr>
        <w:pStyle w:val="BodyText"/>
        <w:widowControl/>
        <w:spacing w:line="276" w:lineRule="auto"/>
      </w:pPr>
    </w:p>
    <w:p w14:paraId="0B0A1A7E" w14:textId="77777777" w:rsidR="009071D7" w:rsidRPr="00992817" w:rsidRDefault="009071D7" w:rsidP="009A2C8D">
      <w:pPr>
        <w:widowControl/>
        <w:spacing w:line="276" w:lineRule="auto"/>
        <w:rPr>
          <w:rFonts w:ascii="Calibri" w:eastAsia="Calibri" w:hAnsi="Calibri" w:cs="Calibri"/>
          <w:sz w:val="20"/>
          <w:szCs w:val="20"/>
        </w:rPr>
        <w:sectPr w:rsidR="009071D7" w:rsidRPr="00992817" w:rsidSect="00112B89">
          <w:footerReference w:type="default" r:id="rId17"/>
          <w:pgSz w:w="12240" w:h="15840"/>
          <w:pgMar w:top="1531" w:right="1304" w:bottom="1531" w:left="1304" w:header="0" w:footer="709" w:gutter="0"/>
          <w:pgNumType w:start="1"/>
          <w:cols w:space="720"/>
        </w:sectPr>
      </w:pPr>
    </w:p>
    <w:p w14:paraId="1DA71D35" w14:textId="10523226" w:rsidR="006C47CF" w:rsidRDefault="006C47CF" w:rsidP="009A2C8D">
      <w:pPr>
        <w:pStyle w:val="Heading1"/>
        <w:widowControl/>
        <w:numPr>
          <w:ilvl w:val="0"/>
          <w:numId w:val="0"/>
        </w:numPr>
        <w:spacing w:line="276" w:lineRule="auto"/>
      </w:pPr>
      <w:bookmarkStart w:id="26" w:name="Investment_By-law_Apendix_A_Asset_Mix"/>
      <w:bookmarkStart w:id="27" w:name="_Toc140063091"/>
      <w:bookmarkEnd w:id="26"/>
      <w:r>
        <w:lastRenderedPageBreak/>
        <w:t>Annexe A : Glossaire</w:t>
      </w:r>
      <w:bookmarkEnd w:id="27"/>
    </w:p>
    <w:p w14:paraId="2FE3CA5D" w14:textId="77777777" w:rsidR="00804E11" w:rsidRDefault="00804E11" w:rsidP="00804E11">
      <w:pPr>
        <w:pStyle w:val="List2"/>
        <w:widowControl/>
        <w:numPr>
          <w:ilvl w:val="0"/>
          <w:numId w:val="5"/>
        </w:numPr>
        <w:spacing w:line="276" w:lineRule="auto"/>
        <w:ind w:left="567" w:hanging="567"/>
      </w:pPr>
      <w:r>
        <w:t xml:space="preserve">On entend par </w:t>
      </w:r>
      <w:r>
        <w:rPr>
          <w:b/>
        </w:rPr>
        <w:t>« affectation des actifs »</w:t>
      </w:r>
      <w:r>
        <w:t xml:space="preserve"> la manière dont la coopérative répartit les fonds qu’elle investit entre les différentes classes d’actifs.</w:t>
      </w:r>
    </w:p>
    <w:p w14:paraId="2F182E08" w14:textId="1B6666B2" w:rsidR="00154411" w:rsidRDefault="00154411" w:rsidP="00804E11">
      <w:pPr>
        <w:pStyle w:val="List2"/>
        <w:widowControl/>
        <w:numPr>
          <w:ilvl w:val="0"/>
          <w:numId w:val="5"/>
        </w:numPr>
        <w:spacing w:line="276" w:lineRule="auto"/>
        <w:ind w:left="567" w:hanging="567"/>
      </w:pPr>
      <w:r>
        <w:t xml:space="preserve">On entend par </w:t>
      </w:r>
      <w:r>
        <w:rPr>
          <w:b/>
        </w:rPr>
        <w:t>« titre adossé à des crédits immobiliers »</w:t>
      </w:r>
      <w:r>
        <w:t xml:space="preserve"> un titre adossé à un ensemble d’actifs financiers, comme des prêts automobiles ou des sommes dues sur des cartes de crédit.</w:t>
      </w:r>
    </w:p>
    <w:p w14:paraId="4DAAB016" w14:textId="77777777" w:rsidR="00154411" w:rsidRPr="00CB74BC" w:rsidRDefault="00154411" w:rsidP="009A2C8D">
      <w:pPr>
        <w:pStyle w:val="List2"/>
        <w:widowControl/>
        <w:numPr>
          <w:ilvl w:val="0"/>
          <w:numId w:val="5"/>
        </w:numPr>
        <w:spacing w:line="276" w:lineRule="auto"/>
        <w:ind w:left="567" w:hanging="567"/>
      </w:pPr>
      <w:r>
        <w:t>On entend par « </w:t>
      </w:r>
      <w:r>
        <w:rPr>
          <w:b/>
        </w:rPr>
        <w:t>classe d’actifs »</w:t>
      </w:r>
      <w:r>
        <w:t xml:space="preserve"> un groupe de titres similaires. Les capitaux propres et les titres à revenu fixe sont des exemples de classes d’actifs. </w:t>
      </w:r>
    </w:p>
    <w:p w14:paraId="28322B43" w14:textId="0843D83A" w:rsidR="00154411" w:rsidRPr="00992817" w:rsidRDefault="00154411" w:rsidP="009A2C8D">
      <w:pPr>
        <w:pStyle w:val="List2"/>
        <w:widowControl/>
        <w:numPr>
          <w:ilvl w:val="0"/>
          <w:numId w:val="5"/>
        </w:numPr>
        <w:spacing w:line="276" w:lineRule="auto"/>
        <w:ind w:left="567" w:hanging="567"/>
      </w:pPr>
      <w:r>
        <w:t xml:space="preserve">Le </w:t>
      </w:r>
      <w:r>
        <w:rPr>
          <w:b/>
        </w:rPr>
        <w:t>« plan de gestion des actifs »</w:t>
      </w:r>
      <w:r>
        <w:t xml:space="preserve"> est un plan pour la réparation et le remplacement des immobilisations de la coopérative. Il contient :</w:t>
      </w:r>
    </w:p>
    <w:p w14:paraId="27B27911" w14:textId="77777777" w:rsidR="00154411" w:rsidRDefault="00154411" w:rsidP="00C711F8">
      <w:pPr>
        <w:pStyle w:val="BodyText"/>
        <w:widowControl/>
        <w:numPr>
          <w:ilvl w:val="0"/>
          <w:numId w:val="15"/>
        </w:numPr>
        <w:tabs>
          <w:tab w:val="left" w:pos="1560"/>
        </w:tabs>
        <w:spacing w:line="276" w:lineRule="auto"/>
        <w:ind w:left="992" w:hanging="425"/>
      </w:pPr>
      <w:proofErr w:type="gramStart"/>
      <w:r>
        <w:t>une</w:t>
      </w:r>
      <w:proofErr w:type="gramEnd"/>
      <w:r>
        <w:t xml:space="preserve"> étude de l’état des bâtiments;</w:t>
      </w:r>
    </w:p>
    <w:p w14:paraId="04DB3ED9" w14:textId="77777777" w:rsidR="00154411" w:rsidRPr="00992817" w:rsidRDefault="00154411" w:rsidP="00C711F8">
      <w:pPr>
        <w:pStyle w:val="BodyText"/>
        <w:widowControl/>
        <w:numPr>
          <w:ilvl w:val="0"/>
          <w:numId w:val="15"/>
        </w:numPr>
        <w:tabs>
          <w:tab w:val="left" w:pos="1560"/>
        </w:tabs>
        <w:spacing w:line="276" w:lineRule="auto"/>
        <w:ind w:left="992" w:hanging="425"/>
      </w:pPr>
      <w:proofErr w:type="gramStart"/>
      <w:r>
        <w:t>un</w:t>
      </w:r>
      <w:proofErr w:type="gramEnd"/>
      <w:r>
        <w:t xml:space="preserve"> tableau indiquant la date à laquelle les remplacements et les réparations importantes seront nécessaires; </w:t>
      </w:r>
    </w:p>
    <w:p w14:paraId="3939D5CC" w14:textId="77777777" w:rsidR="004F3931" w:rsidRDefault="00154411" w:rsidP="00C711F8">
      <w:pPr>
        <w:pStyle w:val="BodyText"/>
        <w:widowControl/>
        <w:numPr>
          <w:ilvl w:val="0"/>
          <w:numId w:val="15"/>
        </w:numPr>
        <w:tabs>
          <w:tab w:val="left" w:pos="1560"/>
        </w:tabs>
        <w:spacing w:after="100" w:afterAutospacing="1" w:line="276" w:lineRule="auto"/>
        <w:ind w:left="992" w:hanging="425"/>
      </w:pPr>
      <w:proofErr w:type="gramStart"/>
      <w:r>
        <w:t>une</w:t>
      </w:r>
      <w:proofErr w:type="gramEnd"/>
      <w:r>
        <w:t xml:space="preserve"> prévision des besoins annuels de financement à long terme;</w:t>
      </w:r>
    </w:p>
    <w:p w14:paraId="6A06AAC0" w14:textId="37DC5547" w:rsidR="00154411" w:rsidRDefault="004F3931" w:rsidP="00C711F8">
      <w:pPr>
        <w:pStyle w:val="BodyText"/>
        <w:widowControl/>
        <w:numPr>
          <w:ilvl w:val="0"/>
          <w:numId w:val="15"/>
        </w:numPr>
        <w:tabs>
          <w:tab w:val="left" w:pos="1560"/>
        </w:tabs>
        <w:spacing w:after="100" w:afterAutospacing="1" w:line="276" w:lineRule="auto"/>
        <w:ind w:left="992" w:hanging="425"/>
      </w:pPr>
      <w:proofErr w:type="gramStart"/>
      <w:r>
        <w:t>un</w:t>
      </w:r>
      <w:proofErr w:type="gramEnd"/>
      <w:r>
        <w:t xml:space="preserve"> calendrier et un budget pour l’entretien régulier et préventif des immobilisations.</w:t>
      </w:r>
    </w:p>
    <w:p w14:paraId="1CD17021" w14:textId="77777777" w:rsidR="00154411" w:rsidRPr="00797F54" w:rsidRDefault="00154411" w:rsidP="009A2C8D">
      <w:pPr>
        <w:pStyle w:val="List2"/>
        <w:widowControl/>
        <w:numPr>
          <w:ilvl w:val="0"/>
          <w:numId w:val="5"/>
        </w:numPr>
        <w:spacing w:line="276" w:lineRule="auto"/>
        <w:ind w:left="567" w:hanging="567"/>
      </w:pPr>
      <w:r>
        <w:t xml:space="preserve">Le </w:t>
      </w:r>
      <w:r>
        <w:rPr>
          <w:b/>
        </w:rPr>
        <w:t>« portefeuille d’actifs »</w:t>
      </w:r>
      <w:r>
        <w:t xml:space="preserve"> est la combinaison des différents types de titres que la coopérative achète. </w:t>
      </w:r>
    </w:p>
    <w:p w14:paraId="29C75671" w14:textId="77777777" w:rsidR="00154411" w:rsidRDefault="00154411" w:rsidP="009A2C8D">
      <w:pPr>
        <w:pStyle w:val="List2"/>
        <w:widowControl/>
        <w:numPr>
          <w:ilvl w:val="0"/>
          <w:numId w:val="5"/>
        </w:numPr>
        <w:spacing w:line="276" w:lineRule="auto"/>
        <w:ind w:left="567" w:hanging="567"/>
      </w:pPr>
      <w:r>
        <w:t xml:space="preserve">Une </w:t>
      </w:r>
      <w:r>
        <w:rPr>
          <w:b/>
        </w:rPr>
        <w:t>« obligation »</w:t>
      </w:r>
      <w:r>
        <w:t xml:space="preserve"> est une reconnaissance de dette émise par un gouvernement ou une entreprise qui emprunte de l’argent à des investisseurs. Une obligation paie un taux d’intérêt fixe et est remboursable à une date fixe. Les obligations émises par le gouvernement du Canada sont considérées comme « sans risque ». Il n’y a aucun risque que le capital ou les intérêts ne soient pas payés. </w:t>
      </w:r>
    </w:p>
    <w:p w14:paraId="5F4BE638" w14:textId="6E345B6C" w:rsidR="00154411" w:rsidRPr="00C24C50" w:rsidRDefault="00154411" w:rsidP="009A2C8D">
      <w:pPr>
        <w:pStyle w:val="List2"/>
        <w:widowControl/>
        <w:numPr>
          <w:ilvl w:val="0"/>
          <w:numId w:val="5"/>
        </w:numPr>
        <w:spacing w:line="276" w:lineRule="auto"/>
        <w:ind w:left="567" w:hanging="567"/>
      </w:pPr>
      <w:r>
        <w:t xml:space="preserve">On entend par </w:t>
      </w:r>
      <w:r>
        <w:rPr>
          <w:b/>
        </w:rPr>
        <w:t>« évaluation d’obligations »</w:t>
      </w:r>
      <w:r>
        <w:t xml:space="preserve"> une cote attribuée à une obligation pour évaluer le risque de non-remboursement (</w:t>
      </w:r>
      <w:r>
        <w:rPr>
          <w:b/>
        </w:rPr>
        <w:t>« risque de crédit »</w:t>
      </w:r>
      <w:r>
        <w:t>). La cote est basée sur la capacité de l’émetteur de l’obligation à effectuer des paiements en temps opportun. Les obligations les plus sûres sont cotées « AAA ». Les obligations les plus risquées sont coté</w:t>
      </w:r>
      <w:r w:rsidR="00835AF6">
        <w:t>e</w:t>
      </w:r>
      <w:r>
        <w:t>s « C » ou « D » (« spéculatives »).</w:t>
      </w:r>
    </w:p>
    <w:p w14:paraId="7DCBE2E2" w14:textId="77777777" w:rsidR="00154411" w:rsidRPr="00D069B4" w:rsidRDefault="00154411" w:rsidP="009A2C8D">
      <w:pPr>
        <w:pStyle w:val="List2"/>
        <w:widowControl/>
        <w:numPr>
          <w:ilvl w:val="0"/>
          <w:numId w:val="5"/>
        </w:numPr>
        <w:spacing w:line="276" w:lineRule="auto"/>
        <w:ind w:left="567" w:hanging="567"/>
      </w:pPr>
      <w:r>
        <w:t xml:space="preserve">Les </w:t>
      </w:r>
      <w:r>
        <w:rPr>
          <w:b/>
        </w:rPr>
        <w:t>« obligations hypothécaires du Canada (OHC) »</w:t>
      </w:r>
      <w:r>
        <w:t xml:space="preserve"> sont des obligations garanties par un ensemble de prêts hypothécaires émis par des banques et d’autres prêteurs. Le titulaire d’une OHC perçoit des intérêts deux (2) fois par an à un taux fixe. L’obligation est remboursée à une date fixe. La Société canadienne d’hypothèques et de logement garantit des paiements dans les délais aux détenteurs d’OHC. Les OHC sont garanties par le gouvernement du Canada et sont considérées comme sans risque. </w:t>
      </w:r>
    </w:p>
    <w:p w14:paraId="57FEE5B9" w14:textId="77777777" w:rsidR="00154411" w:rsidRPr="00615C9A" w:rsidRDefault="00154411" w:rsidP="009A2C8D">
      <w:pPr>
        <w:pStyle w:val="List2"/>
        <w:widowControl/>
        <w:numPr>
          <w:ilvl w:val="0"/>
          <w:numId w:val="5"/>
        </w:numPr>
        <w:spacing w:line="276" w:lineRule="auto"/>
        <w:ind w:left="567" w:hanging="567"/>
      </w:pPr>
      <w:r>
        <w:lastRenderedPageBreak/>
        <w:t xml:space="preserve">Un </w:t>
      </w:r>
      <w:r>
        <w:rPr>
          <w:b/>
        </w:rPr>
        <w:t>« gain en capital »</w:t>
      </w:r>
      <w:r>
        <w:t xml:space="preserve"> ou une </w:t>
      </w:r>
      <w:r>
        <w:rPr>
          <w:b/>
        </w:rPr>
        <w:t>« perte en capital »</w:t>
      </w:r>
      <w:r>
        <w:t xml:space="preserve"> est la différence entre le prix payé par la coopérative pour un investissement et le prix auquel elle peut le vendre plus tard. </w:t>
      </w:r>
    </w:p>
    <w:p w14:paraId="42A74292" w14:textId="77777777" w:rsidR="00804E11" w:rsidRDefault="00804E11" w:rsidP="00804E11">
      <w:pPr>
        <w:pStyle w:val="List2"/>
        <w:widowControl/>
        <w:numPr>
          <w:ilvl w:val="0"/>
          <w:numId w:val="5"/>
        </w:numPr>
        <w:spacing w:line="276" w:lineRule="auto"/>
        <w:ind w:left="567" w:hanging="567"/>
      </w:pPr>
      <w:r>
        <w:t xml:space="preserve">Les </w:t>
      </w:r>
      <w:r>
        <w:rPr>
          <w:b/>
        </w:rPr>
        <w:t>« immobilisations »</w:t>
      </w:r>
      <w:r>
        <w:t xml:space="preserve"> sont des éléments du patrimoine de la coopérative dont la durée de vie utile est supérieure à un (1) an. Des exemples d’immobilisations comprennent des poêles, des réfrigérateurs, des toits, des portes, des fenêtres, des fours et des clôtures.</w:t>
      </w:r>
    </w:p>
    <w:p w14:paraId="5E4103CA" w14:textId="77777777" w:rsidR="004F3931" w:rsidRPr="00992817" w:rsidRDefault="00154411" w:rsidP="004F3931">
      <w:pPr>
        <w:pStyle w:val="List2"/>
        <w:widowControl/>
        <w:numPr>
          <w:ilvl w:val="0"/>
          <w:numId w:val="5"/>
        </w:numPr>
        <w:spacing w:line="276" w:lineRule="auto"/>
        <w:ind w:left="567" w:hanging="567"/>
      </w:pPr>
      <w:r>
        <w:t xml:space="preserve">Un </w:t>
      </w:r>
      <w:r>
        <w:rPr>
          <w:b/>
        </w:rPr>
        <w:t>« plan de remplacement des immobilisations »</w:t>
      </w:r>
      <w:r>
        <w:t xml:space="preserve"> est un plan de réparation et de remplacement des immobilisations de la coopérative. Il contient :</w:t>
      </w:r>
    </w:p>
    <w:p w14:paraId="7F3B3744" w14:textId="77777777" w:rsidR="004F3931" w:rsidRDefault="004F3931" w:rsidP="004F3931">
      <w:pPr>
        <w:pStyle w:val="BodyText"/>
        <w:widowControl/>
        <w:numPr>
          <w:ilvl w:val="0"/>
          <w:numId w:val="15"/>
        </w:numPr>
        <w:tabs>
          <w:tab w:val="left" w:pos="1560"/>
        </w:tabs>
        <w:spacing w:line="276" w:lineRule="auto"/>
        <w:ind w:left="992" w:hanging="425"/>
      </w:pPr>
      <w:proofErr w:type="gramStart"/>
      <w:r>
        <w:t>une</w:t>
      </w:r>
      <w:proofErr w:type="gramEnd"/>
      <w:r>
        <w:t xml:space="preserve"> étude de l’état des bâtiments;</w:t>
      </w:r>
    </w:p>
    <w:p w14:paraId="20B467E4" w14:textId="77777777" w:rsidR="00713BC4" w:rsidRDefault="004F3931" w:rsidP="00713BC4">
      <w:pPr>
        <w:pStyle w:val="BodyText"/>
        <w:widowControl/>
        <w:numPr>
          <w:ilvl w:val="0"/>
          <w:numId w:val="15"/>
        </w:numPr>
        <w:tabs>
          <w:tab w:val="left" w:pos="1560"/>
        </w:tabs>
        <w:spacing w:line="276" w:lineRule="auto"/>
        <w:ind w:left="992" w:hanging="425"/>
      </w:pPr>
      <w:proofErr w:type="gramStart"/>
      <w:r>
        <w:t>un</w:t>
      </w:r>
      <w:proofErr w:type="gramEnd"/>
      <w:r>
        <w:t xml:space="preserve"> tableau indiquant la date à laquelle les remplacements et les réparations importantes seront nécessaires;</w:t>
      </w:r>
    </w:p>
    <w:p w14:paraId="68BFBDD3" w14:textId="33640F86" w:rsidR="00154411" w:rsidRPr="00713BC4" w:rsidRDefault="004F3931" w:rsidP="00713BC4">
      <w:pPr>
        <w:pStyle w:val="BodyText"/>
        <w:widowControl/>
        <w:numPr>
          <w:ilvl w:val="0"/>
          <w:numId w:val="15"/>
        </w:numPr>
        <w:tabs>
          <w:tab w:val="left" w:pos="1560"/>
        </w:tabs>
        <w:spacing w:after="240" w:line="276" w:lineRule="auto"/>
        <w:ind w:left="992" w:hanging="425"/>
      </w:pPr>
      <w:proofErr w:type="gramStart"/>
      <w:r>
        <w:t>une</w:t>
      </w:r>
      <w:proofErr w:type="gramEnd"/>
      <w:r>
        <w:t xml:space="preserve"> prévision des besoins annuels de financement à long terme.</w:t>
      </w:r>
    </w:p>
    <w:p w14:paraId="1EE23CC5" w14:textId="7C7B6F94" w:rsidR="00154411" w:rsidRDefault="00154411" w:rsidP="009A2C8D">
      <w:pPr>
        <w:pStyle w:val="List2"/>
        <w:widowControl/>
        <w:numPr>
          <w:ilvl w:val="0"/>
          <w:numId w:val="5"/>
        </w:numPr>
        <w:spacing w:line="276" w:lineRule="auto"/>
        <w:ind w:left="567" w:hanging="567"/>
      </w:pPr>
      <w:r>
        <w:t xml:space="preserve">La </w:t>
      </w:r>
      <w:r>
        <w:rPr>
          <w:b/>
        </w:rPr>
        <w:t>« réserve pour le remplacement des immobilisations »</w:t>
      </w:r>
      <w:r>
        <w:t xml:space="preserve"> est l’argent que la coopérative met de côté pour remplacer les immobilisations ou effectuer des réparations importantes. L’argent de la réserve provient de transferts réguliers du budget de fonctionnement de la </w:t>
      </w:r>
      <w:r>
        <w:noBreakHyphen/>
        <w:t>coopérative et de toute somme forfaitaire ajoutée à la réserve de temps à autre.</w:t>
      </w:r>
    </w:p>
    <w:p w14:paraId="72B8A07A" w14:textId="2285096A" w:rsidR="00711DFE" w:rsidRPr="0023000B" w:rsidRDefault="00711DFE" w:rsidP="0084562B">
      <w:pPr>
        <w:pStyle w:val="List"/>
        <w:numPr>
          <w:ilvl w:val="0"/>
          <w:numId w:val="5"/>
        </w:numPr>
        <w:ind w:left="567" w:hanging="567"/>
      </w:pPr>
      <w:r>
        <w:t xml:space="preserve">Les </w:t>
      </w:r>
      <w:r>
        <w:rPr>
          <w:b/>
        </w:rPr>
        <w:t>« fonds liquides »</w:t>
      </w:r>
      <w:r>
        <w:t xml:space="preserve"> comprennent les espèces en caisse et les chèques en caisse qui n’ont pas été déposés et les liquidités en banque.</w:t>
      </w:r>
    </w:p>
    <w:p w14:paraId="6842015E" w14:textId="77777777" w:rsidR="00154411" w:rsidRDefault="00154411" w:rsidP="009A2C8D">
      <w:pPr>
        <w:pStyle w:val="List2"/>
        <w:widowControl/>
        <w:numPr>
          <w:ilvl w:val="0"/>
          <w:numId w:val="5"/>
        </w:numPr>
        <w:spacing w:line="276" w:lineRule="auto"/>
        <w:ind w:left="567" w:hanging="567"/>
      </w:pPr>
      <w:r>
        <w:t xml:space="preserve">Une </w:t>
      </w:r>
      <w:r>
        <w:rPr>
          <w:b/>
        </w:rPr>
        <w:t>« débenture »</w:t>
      </w:r>
      <w:r>
        <w:t xml:space="preserve"> est une obligation qui n’est pas garantie par les actifs de l’émetteur.</w:t>
      </w:r>
    </w:p>
    <w:p w14:paraId="473B6F01" w14:textId="31B310C7" w:rsidR="00154411" w:rsidRDefault="00154411" w:rsidP="009A2C8D">
      <w:pPr>
        <w:pStyle w:val="List2"/>
        <w:widowControl/>
        <w:numPr>
          <w:ilvl w:val="0"/>
          <w:numId w:val="5"/>
        </w:numPr>
        <w:spacing w:line="276" w:lineRule="auto"/>
        <w:ind w:left="567" w:hanging="567"/>
      </w:pPr>
      <w:r>
        <w:t xml:space="preserve">Un </w:t>
      </w:r>
      <w:r>
        <w:rPr>
          <w:b/>
        </w:rPr>
        <w:t>« dérivé »</w:t>
      </w:r>
      <w:r>
        <w:t xml:space="preserve"> est un titre dont la valeur dépend de la valeur d’un autre actif ou groupe d’actifs, tels que des actions, des obligations, des marchandises, des devises, des taux d’intérêt ou des indices du marché. Des exemples de dérivés comprennent des contrats à terme, des échanges financiers et des options.</w:t>
      </w:r>
    </w:p>
    <w:p w14:paraId="4E1E5CDE" w14:textId="77777777" w:rsidR="00154411" w:rsidRPr="00CE57A2" w:rsidRDefault="00154411" w:rsidP="009A2C8D">
      <w:pPr>
        <w:pStyle w:val="List2"/>
        <w:widowControl/>
        <w:numPr>
          <w:ilvl w:val="0"/>
          <w:numId w:val="5"/>
        </w:numPr>
        <w:spacing w:line="276" w:lineRule="auto"/>
        <w:ind w:left="567" w:hanging="567"/>
        <w:rPr>
          <w:spacing w:val="-1"/>
        </w:rPr>
      </w:pPr>
      <w:r>
        <w:t xml:space="preserve">Un </w:t>
      </w:r>
      <w:r>
        <w:rPr>
          <w:b/>
        </w:rPr>
        <w:t>« dividende »</w:t>
      </w:r>
      <w:r>
        <w:t xml:space="preserve"> est une somme versée aux actionnaires d’une société à partir des revenus de cette dernière.</w:t>
      </w:r>
    </w:p>
    <w:p w14:paraId="7DDD92E0" w14:textId="1B173C04" w:rsidR="00154411" w:rsidRDefault="00154411" w:rsidP="009A2C8D">
      <w:pPr>
        <w:pStyle w:val="List2"/>
        <w:widowControl/>
        <w:numPr>
          <w:ilvl w:val="0"/>
          <w:numId w:val="5"/>
        </w:numPr>
        <w:spacing w:line="276" w:lineRule="auto"/>
        <w:ind w:left="567" w:hanging="567"/>
      </w:pPr>
      <w:r>
        <w:t xml:space="preserve">Des </w:t>
      </w:r>
      <w:r>
        <w:rPr>
          <w:b/>
        </w:rPr>
        <w:t>« fonds Encasa »</w:t>
      </w:r>
      <w:r>
        <w:t xml:space="preserve"> désignent les investissements communs proposés aux fournisseurs de logements sans but lucratif et coopératifs par Encasa Financial </w:t>
      </w:r>
      <w:proofErr w:type="spellStart"/>
      <w:r>
        <w:t>inc.</w:t>
      </w:r>
      <w:proofErr w:type="spellEnd"/>
      <w:r>
        <w:t xml:space="preserve"> Encasa Financial est un service d’investissement commun aux secteurs du logement coopératif et à but non lucratif. </w:t>
      </w:r>
    </w:p>
    <w:p w14:paraId="3858A099" w14:textId="274F8DC1" w:rsidR="00154411" w:rsidRDefault="00154411" w:rsidP="009A2C8D">
      <w:pPr>
        <w:pStyle w:val="List2"/>
        <w:widowControl/>
        <w:numPr>
          <w:ilvl w:val="0"/>
          <w:numId w:val="5"/>
        </w:numPr>
        <w:spacing w:line="276" w:lineRule="auto"/>
        <w:ind w:left="567" w:hanging="567"/>
      </w:pPr>
      <w:r>
        <w:t xml:space="preserve">Les </w:t>
      </w:r>
      <w:r>
        <w:rPr>
          <w:b/>
        </w:rPr>
        <w:t>« capitaux propres »</w:t>
      </w:r>
      <w:r>
        <w:t xml:space="preserve">, également appelés </w:t>
      </w:r>
      <w:r>
        <w:rPr>
          <w:b/>
        </w:rPr>
        <w:t>« parts »</w:t>
      </w:r>
      <w:r>
        <w:t xml:space="preserve"> ou </w:t>
      </w:r>
      <w:r>
        <w:rPr>
          <w:b/>
        </w:rPr>
        <w:t>« actions »,</w:t>
      </w:r>
      <w:r>
        <w:t xml:space="preserve"> sont des parts de propriété d’une entreprise. </w:t>
      </w:r>
    </w:p>
    <w:p w14:paraId="3B15E5EC" w14:textId="31E670E6" w:rsidR="00467D3A" w:rsidRDefault="00467D3A" w:rsidP="009A2C8D">
      <w:pPr>
        <w:pStyle w:val="List2"/>
        <w:widowControl/>
        <w:numPr>
          <w:ilvl w:val="0"/>
          <w:numId w:val="5"/>
        </w:numPr>
        <w:spacing w:line="276" w:lineRule="auto"/>
        <w:ind w:left="567" w:hanging="567"/>
      </w:pPr>
      <w:r>
        <w:t xml:space="preserve">On entend par </w:t>
      </w:r>
      <w:r>
        <w:rPr>
          <w:b/>
        </w:rPr>
        <w:t>« conseiller externe en investissement »</w:t>
      </w:r>
      <w:r>
        <w:t xml:space="preserve"> une entreprise ou une personne extérieure à la coopérative qui possède une qualification reconnue en matière de conseil en investissement. </w:t>
      </w:r>
    </w:p>
    <w:p w14:paraId="52226E7E" w14:textId="77777777" w:rsidR="00154411" w:rsidRDefault="00154411" w:rsidP="009A2C8D">
      <w:pPr>
        <w:pStyle w:val="List2"/>
        <w:widowControl/>
        <w:numPr>
          <w:ilvl w:val="0"/>
          <w:numId w:val="5"/>
        </w:numPr>
        <w:spacing w:line="276" w:lineRule="auto"/>
        <w:ind w:left="567" w:hanging="567"/>
      </w:pPr>
      <w:r>
        <w:lastRenderedPageBreak/>
        <w:t xml:space="preserve">Un </w:t>
      </w:r>
      <w:r>
        <w:rPr>
          <w:b/>
        </w:rPr>
        <w:t>« titre à revenu fixe »</w:t>
      </w:r>
      <w:r>
        <w:t xml:space="preserve"> est un investissement qui rapporte des intérêts à un taux fixe. Le capital est remboursé à l’investisseur à une date fixe. Il s’agit par exemple d’obligations, de certificats de placement garanti, de dépôts à terme et de bons du Trésor.</w:t>
      </w:r>
    </w:p>
    <w:p w14:paraId="0CD6646F" w14:textId="7D879BC1" w:rsidR="00CD1802" w:rsidRDefault="00CD1802" w:rsidP="009A2C8D">
      <w:pPr>
        <w:pStyle w:val="List2"/>
        <w:widowControl/>
        <w:numPr>
          <w:ilvl w:val="0"/>
          <w:numId w:val="5"/>
        </w:numPr>
        <w:spacing w:line="276" w:lineRule="auto"/>
        <w:ind w:left="567" w:hanging="567"/>
      </w:pPr>
      <w:r>
        <w:t>« </w:t>
      </w:r>
      <w:r>
        <w:rPr>
          <w:b/>
        </w:rPr>
        <w:t>PBCL »</w:t>
      </w:r>
      <w:r>
        <w:t xml:space="preserve"> est un sigle créé à partir de « </w:t>
      </w:r>
      <w:commentRangeStart w:id="28"/>
      <w:r>
        <w:t>potentiel brut de charges de logement </w:t>
      </w:r>
      <w:commentRangeEnd w:id="28"/>
      <w:r w:rsidR="0097080B">
        <w:rPr>
          <w:rStyle w:val="CommentReference"/>
        </w:rPr>
        <w:commentReference w:id="28"/>
      </w:r>
      <w:r>
        <w:t xml:space="preserve">». </w:t>
      </w:r>
    </w:p>
    <w:p w14:paraId="0DF5B6DC" w14:textId="14A8E679" w:rsidR="00154411" w:rsidRDefault="00154411" w:rsidP="009A2C8D">
      <w:pPr>
        <w:pStyle w:val="List2"/>
        <w:widowControl/>
        <w:numPr>
          <w:ilvl w:val="0"/>
          <w:numId w:val="5"/>
        </w:numPr>
        <w:spacing w:line="276" w:lineRule="auto"/>
        <w:ind w:left="567" w:hanging="567"/>
      </w:pPr>
      <w:r>
        <w:t xml:space="preserve">On entend par </w:t>
      </w:r>
      <w:r>
        <w:rPr>
          <w:b/>
        </w:rPr>
        <w:t>« </w:t>
      </w:r>
      <w:commentRangeStart w:id="29"/>
      <w:r>
        <w:rPr>
          <w:b/>
        </w:rPr>
        <w:t>potentiel brut de charges de logement </w:t>
      </w:r>
      <w:commentRangeEnd w:id="29"/>
      <w:r w:rsidR="0097080B">
        <w:rPr>
          <w:rStyle w:val="CommentReference"/>
        </w:rPr>
        <w:commentReference w:id="29"/>
      </w:r>
      <w:r>
        <w:rPr>
          <w:b/>
        </w:rPr>
        <w:t>»</w:t>
      </w:r>
      <w:r>
        <w:t xml:space="preserve"> le total des charges de logement perçues lorsque toutes les unités de la coopérative sont occupées</w:t>
      </w:r>
      <w:r w:rsidR="00835AF6">
        <w:t>.</w:t>
      </w:r>
      <w:r>
        <w:t xml:space="preserve"> Il comprend des subventions aux membres et des suppléments de loyer.</w:t>
      </w:r>
    </w:p>
    <w:p w14:paraId="2674DCA8" w14:textId="77777777" w:rsidR="00154411" w:rsidRDefault="00154411" w:rsidP="009A2C8D">
      <w:pPr>
        <w:pStyle w:val="List2"/>
        <w:widowControl/>
        <w:numPr>
          <w:ilvl w:val="0"/>
          <w:numId w:val="5"/>
        </w:numPr>
        <w:spacing w:line="276" w:lineRule="auto"/>
        <w:ind w:left="567" w:hanging="567"/>
      </w:pPr>
      <w:r>
        <w:t xml:space="preserve">On entend par </w:t>
      </w:r>
      <w:r>
        <w:rPr>
          <w:b/>
        </w:rPr>
        <w:t>« opération de couverture »</w:t>
      </w:r>
      <w:r>
        <w:t xml:space="preserve"> un investissement réalisé pour compenser le risque de perte d’un autre investissement.</w:t>
      </w:r>
    </w:p>
    <w:p w14:paraId="6C41DE7D" w14:textId="231C9F97" w:rsidR="00154411" w:rsidRDefault="00154411" w:rsidP="009A2C8D">
      <w:pPr>
        <w:pStyle w:val="List2"/>
        <w:widowControl/>
        <w:numPr>
          <w:ilvl w:val="0"/>
          <w:numId w:val="5"/>
        </w:numPr>
        <w:spacing w:line="276" w:lineRule="auto"/>
        <w:ind w:left="567" w:hanging="567"/>
      </w:pPr>
      <w:r>
        <w:t xml:space="preserve">On entend par </w:t>
      </w:r>
      <w:r>
        <w:rPr>
          <w:b/>
        </w:rPr>
        <w:t>« actifs investis »</w:t>
      </w:r>
      <w:r>
        <w:t xml:space="preserve"> les sommes que la coopérative a investies pour obtenir un revenu ou un gain en capital.</w:t>
      </w:r>
    </w:p>
    <w:p w14:paraId="6A7B5EDA" w14:textId="79106D4D" w:rsidR="00154411" w:rsidRDefault="00154411" w:rsidP="009A2C8D">
      <w:pPr>
        <w:pStyle w:val="List2"/>
        <w:widowControl/>
        <w:numPr>
          <w:ilvl w:val="0"/>
          <w:numId w:val="5"/>
        </w:numPr>
        <w:spacing w:line="276" w:lineRule="auto"/>
        <w:ind w:left="567" w:hanging="567"/>
        <w:rPr>
          <w:spacing w:val="1"/>
        </w:rPr>
      </w:pPr>
      <w:r>
        <w:t xml:space="preserve">Les </w:t>
      </w:r>
      <w:r>
        <w:rPr>
          <w:b/>
        </w:rPr>
        <w:t>« cotes d’évaluation d’investissement »</w:t>
      </w:r>
      <w:r w:rsidR="0097080B">
        <w:rPr>
          <w:b/>
        </w:rPr>
        <w:t xml:space="preserve"> </w:t>
      </w:r>
      <w:r>
        <w:t>sont des cotes d’obligations situées entre AAA et BBB.</w:t>
      </w:r>
    </w:p>
    <w:p w14:paraId="19F2BA8C" w14:textId="77777777" w:rsidR="00154411" w:rsidRPr="00615C9A" w:rsidRDefault="00154411" w:rsidP="009A2C8D">
      <w:pPr>
        <w:pStyle w:val="List2"/>
        <w:widowControl/>
        <w:numPr>
          <w:ilvl w:val="0"/>
          <w:numId w:val="5"/>
        </w:numPr>
        <w:spacing w:line="276" w:lineRule="auto"/>
        <w:ind w:left="567" w:hanging="567"/>
      </w:pPr>
      <w:r>
        <w:t xml:space="preserve">On entend par </w:t>
      </w:r>
      <w:r>
        <w:rPr>
          <w:b/>
        </w:rPr>
        <w:t>« risque d’investissement »</w:t>
      </w:r>
      <w:r>
        <w:t xml:space="preserve"> le risque de perte totale ou partielle de la valeur d’un investissement.</w:t>
      </w:r>
    </w:p>
    <w:p w14:paraId="428E5086" w14:textId="4EDDCD76" w:rsidR="00225DD2" w:rsidRDefault="00225DD2" w:rsidP="009A2C8D">
      <w:pPr>
        <w:pStyle w:val="List2"/>
        <w:widowControl/>
        <w:numPr>
          <w:ilvl w:val="0"/>
          <w:numId w:val="5"/>
        </w:numPr>
        <w:spacing w:line="276" w:lineRule="auto"/>
        <w:ind w:left="567" w:hanging="567"/>
      </w:pPr>
      <w:r>
        <w:t xml:space="preserve">Une </w:t>
      </w:r>
      <w:r>
        <w:rPr>
          <w:b/>
        </w:rPr>
        <w:t>« obligation spéculative »</w:t>
      </w:r>
      <w:r>
        <w:t xml:space="preserve"> est une obligation portant une cote C ou D.</w:t>
      </w:r>
    </w:p>
    <w:p w14:paraId="0FEB4F2D" w14:textId="0184110A" w:rsidR="00154411" w:rsidRPr="009977D2" w:rsidRDefault="00154411" w:rsidP="009A2C8D">
      <w:pPr>
        <w:pStyle w:val="List2"/>
        <w:widowControl/>
        <w:numPr>
          <w:ilvl w:val="0"/>
          <w:numId w:val="5"/>
        </w:numPr>
        <w:spacing w:line="276" w:lineRule="auto"/>
        <w:ind w:left="567" w:hanging="567"/>
      </w:pPr>
      <w:r>
        <w:t xml:space="preserve">La </w:t>
      </w:r>
      <w:r>
        <w:rPr>
          <w:b/>
        </w:rPr>
        <w:t>« liquidité »</w:t>
      </w:r>
      <w:r>
        <w:t xml:space="preserve"> est la capacité à payer les factures et les autres sommes dues par la coopérative à leur échéance.</w:t>
      </w:r>
    </w:p>
    <w:p w14:paraId="51491B4F" w14:textId="2CA5D303" w:rsidR="00154411" w:rsidRDefault="00154411" w:rsidP="009A2C8D">
      <w:pPr>
        <w:pStyle w:val="List2"/>
        <w:widowControl/>
        <w:numPr>
          <w:ilvl w:val="0"/>
          <w:numId w:val="5"/>
        </w:numPr>
        <w:spacing w:line="276" w:lineRule="auto"/>
        <w:ind w:left="567" w:hanging="567"/>
      </w:pPr>
      <w:r>
        <w:t xml:space="preserve">Le </w:t>
      </w:r>
      <w:r>
        <w:rPr>
          <w:b/>
        </w:rPr>
        <w:t>« dépôt des membres »</w:t>
      </w:r>
      <w:r>
        <w:t xml:space="preserve"> est la somme d’argent que la coopérative détient de chaque ménage membre pendant qu’il vit dans la coopérative.</w:t>
      </w:r>
    </w:p>
    <w:p w14:paraId="0257DE37" w14:textId="500B750B" w:rsidR="00266DE9" w:rsidRPr="00266DE9" w:rsidRDefault="00266DE9" w:rsidP="009A2C8D">
      <w:pPr>
        <w:pStyle w:val="List2"/>
        <w:widowControl/>
        <w:numPr>
          <w:ilvl w:val="0"/>
          <w:numId w:val="5"/>
        </w:numPr>
        <w:spacing w:line="276" w:lineRule="auto"/>
        <w:ind w:left="567" w:hanging="567"/>
      </w:pPr>
      <w:r>
        <w:t xml:space="preserve">Le </w:t>
      </w:r>
      <w:r>
        <w:rPr>
          <w:b/>
        </w:rPr>
        <w:t xml:space="preserve">« prêt aux membres » </w:t>
      </w:r>
      <w:r>
        <w:t>est le prêt que chaque ménage membre accorde à la coopérative en tant que condition d’adhésion.</w:t>
      </w:r>
    </w:p>
    <w:p w14:paraId="5BF1BB2D" w14:textId="766D49CD" w:rsidR="00266DE9" w:rsidRDefault="00266DE9" w:rsidP="009A2C8D">
      <w:pPr>
        <w:pStyle w:val="List2"/>
        <w:widowControl/>
        <w:numPr>
          <w:ilvl w:val="0"/>
          <w:numId w:val="5"/>
        </w:numPr>
        <w:spacing w:line="276" w:lineRule="auto"/>
        <w:ind w:left="567" w:hanging="567"/>
      </w:pPr>
      <w:r>
        <w:t xml:space="preserve">La </w:t>
      </w:r>
      <w:r>
        <w:rPr>
          <w:b/>
        </w:rPr>
        <w:t>« part sociale »</w:t>
      </w:r>
      <w:r>
        <w:t xml:space="preserve"> est la part que chaque membre ou ménage membre achète dans la coopérative en tant que condition d’adhésion.</w:t>
      </w:r>
    </w:p>
    <w:p w14:paraId="7CA974BF" w14:textId="72049A5C" w:rsidR="00154411" w:rsidRDefault="00154411" w:rsidP="009A2C8D">
      <w:pPr>
        <w:pStyle w:val="List2"/>
        <w:widowControl/>
        <w:numPr>
          <w:ilvl w:val="0"/>
          <w:numId w:val="5"/>
        </w:numPr>
        <w:spacing w:line="276" w:lineRule="auto"/>
        <w:ind w:left="567" w:hanging="567"/>
      </w:pPr>
      <w:r>
        <w:t xml:space="preserve">On entend par </w:t>
      </w:r>
      <w:r>
        <w:rPr>
          <w:b/>
        </w:rPr>
        <w:t>« fonds commun de placement »</w:t>
      </w:r>
      <w:r>
        <w:t xml:space="preserve"> un fonds qui permet l’achat d’actions, d’obligations ou d’autres titres. Les investisseurs achètent des unités provenant du fonds. Un gestionnaire de fonds décide comment investir l’argent. Le gestionnaire est rémunéré par le fonds. Les revenus, les gains et les pertes du fonds sont partagés entre les détenteurs d’unités. </w:t>
      </w:r>
    </w:p>
    <w:p w14:paraId="35A29D0E" w14:textId="10B42018" w:rsidR="009F5F6F" w:rsidRPr="00455A95" w:rsidRDefault="009F5F6F" w:rsidP="009A2C8D">
      <w:pPr>
        <w:pStyle w:val="List2"/>
        <w:widowControl/>
        <w:numPr>
          <w:ilvl w:val="0"/>
          <w:numId w:val="5"/>
        </w:numPr>
        <w:spacing w:line="276" w:lineRule="auto"/>
        <w:ind w:left="567" w:hanging="567"/>
      </w:pPr>
      <w:r>
        <w:rPr>
          <w:b/>
        </w:rPr>
        <w:t xml:space="preserve"> </w:t>
      </w:r>
      <w:bookmarkStart w:id="30" w:name="_Hlk127794199"/>
      <w:r>
        <w:t xml:space="preserve">Un </w:t>
      </w:r>
      <w:r>
        <w:rPr>
          <w:b/>
        </w:rPr>
        <w:t xml:space="preserve">« fonds commun » </w:t>
      </w:r>
      <w:r>
        <w:t>combine les contributions de différents investisseurs et les investit ensuite dans des titres et d’autres actifs. </w:t>
      </w:r>
    </w:p>
    <w:bookmarkEnd w:id="30"/>
    <w:p w14:paraId="1497AD47" w14:textId="77777777" w:rsidR="000D78CB" w:rsidRPr="00455A95" w:rsidRDefault="000D78CB" w:rsidP="009A2C8D">
      <w:pPr>
        <w:pStyle w:val="List2"/>
        <w:widowControl/>
        <w:numPr>
          <w:ilvl w:val="0"/>
          <w:numId w:val="5"/>
        </w:numPr>
        <w:spacing w:line="276" w:lineRule="auto"/>
        <w:ind w:left="567" w:hanging="567"/>
      </w:pPr>
      <w:r>
        <w:lastRenderedPageBreak/>
        <w:t xml:space="preserve">Une </w:t>
      </w:r>
      <w:r>
        <w:rPr>
          <w:b/>
        </w:rPr>
        <w:t>« action privilégiée »</w:t>
      </w:r>
      <w:r>
        <w:t xml:space="preserve"> est une action d’une société qui verse un dividende sur une base fixe. Une société doit payer des dividendes sur les actions privilégiées avant de payer des dividendes aux autres actionnaires.</w:t>
      </w:r>
    </w:p>
    <w:p w14:paraId="56ED38E0" w14:textId="77777777" w:rsidR="00804E11" w:rsidRPr="009977D2" w:rsidRDefault="00804E11" w:rsidP="00804E11">
      <w:pPr>
        <w:pStyle w:val="List2"/>
        <w:widowControl/>
        <w:numPr>
          <w:ilvl w:val="0"/>
          <w:numId w:val="5"/>
        </w:numPr>
        <w:spacing w:line="276" w:lineRule="auto"/>
        <w:ind w:left="567" w:hanging="567"/>
      </w:pPr>
      <w:r>
        <w:t xml:space="preserve">Le </w:t>
      </w:r>
      <w:r>
        <w:rPr>
          <w:b/>
        </w:rPr>
        <w:t>« capital »</w:t>
      </w:r>
      <w:r>
        <w:t xml:space="preserve"> est la somme d’argent placée dans un investissement.</w:t>
      </w:r>
    </w:p>
    <w:p w14:paraId="4339C1D2" w14:textId="6FE19DE8" w:rsidR="0072504B" w:rsidRDefault="0072504B" w:rsidP="009A2C8D">
      <w:pPr>
        <w:pStyle w:val="List2"/>
        <w:widowControl/>
        <w:numPr>
          <w:ilvl w:val="0"/>
          <w:numId w:val="5"/>
        </w:numPr>
        <w:spacing w:line="276" w:lineRule="auto"/>
        <w:ind w:left="567" w:hanging="567"/>
      </w:pPr>
      <w:r>
        <w:t xml:space="preserve">Le </w:t>
      </w:r>
      <w:r>
        <w:rPr>
          <w:b/>
        </w:rPr>
        <w:t>« billet à capital protégé (BCP) »</w:t>
      </w:r>
      <w:r>
        <w:t xml:space="preserve"> est un type d’investissement. Il combine un rendement garanti du capital et un éventuel gain en capital. </w:t>
      </w:r>
    </w:p>
    <w:p w14:paraId="6159A302" w14:textId="63FB8568" w:rsidR="00154411" w:rsidRDefault="00154411" w:rsidP="009A2C8D">
      <w:pPr>
        <w:pStyle w:val="List2"/>
        <w:widowControl/>
        <w:numPr>
          <w:ilvl w:val="0"/>
          <w:numId w:val="5"/>
        </w:numPr>
        <w:spacing w:line="276" w:lineRule="auto"/>
        <w:ind w:left="567" w:hanging="567"/>
      </w:pPr>
      <w:r>
        <w:t xml:space="preserve">Le </w:t>
      </w:r>
      <w:r>
        <w:rPr>
          <w:b/>
        </w:rPr>
        <w:t>« taux de rendement »</w:t>
      </w:r>
      <w:r>
        <w:t xml:space="preserve"> est le revenu annuel, le gain en capital ou la perte en capital d’un investissement divisé par le capital investi.</w:t>
      </w:r>
    </w:p>
    <w:p w14:paraId="42C9F86B" w14:textId="166BFF0C" w:rsidR="002F46EC" w:rsidRDefault="002F46EC" w:rsidP="009A2C8D">
      <w:pPr>
        <w:pStyle w:val="List2"/>
        <w:widowControl/>
        <w:numPr>
          <w:ilvl w:val="0"/>
          <w:numId w:val="5"/>
        </w:numPr>
        <w:spacing w:line="276" w:lineRule="auto"/>
        <w:ind w:left="567" w:hanging="567"/>
      </w:pPr>
      <w:r>
        <w:t xml:space="preserve">Les </w:t>
      </w:r>
      <w:r>
        <w:rPr>
          <w:b/>
        </w:rPr>
        <w:t>« titres »</w:t>
      </w:r>
      <w:r>
        <w:t xml:space="preserve"> sont des options d’investissement parmi lesquelles un investisseur peut choisir. Des exemples de titres comprennent les actions, les obligations, les débentures et les fonds communs de placement.</w:t>
      </w:r>
    </w:p>
    <w:p w14:paraId="46CF5DB7" w14:textId="77777777" w:rsidR="00154411" w:rsidRPr="00CE57A2" w:rsidRDefault="00154411" w:rsidP="009A2C8D">
      <w:pPr>
        <w:pStyle w:val="List2"/>
        <w:widowControl/>
        <w:numPr>
          <w:ilvl w:val="0"/>
          <w:numId w:val="5"/>
        </w:numPr>
        <w:spacing w:line="276" w:lineRule="auto"/>
        <w:ind w:left="567" w:hanging="567"/>
      </w:pPr>
      <w:r>
        <w:t xml:space="preserve">Les </w:t>
      </w:r>
      <w:r>
        <w:rPr>
          <w:b/>
        </w:rPr>
        <w:t>« actionnaires »</w:t>
      </w:r>
      <w:r>
        <w:t xml:space="preserve"> sont les propriétaires d’actions d’une société.</w:t>
      </w:r>
    </w:p>
    <w:p w14:paraId="65F2E795" w14:textId="53A00F46" w:rsidR="00DD7D4D" w:rsidRDefault="00154411" w:rsidP="009A2C8D">
      <w:pPr>
        <w:pStyle w:val="List2"/>
        <w:widowControl/>
        <w:numPr>
          <w:ilvl w:val="0"/>
          <w:numId w:val="5"/>
        </w:numPr>
        <w:spacing w:line="276" w:lineRule="auto"/>
        <w:ind w:left="567" w:hanging="567"/>
      </w:pPr>
      <w:r>
        <w:rPr>
          <w:b/>
        </w:rPr>
        <w:t>« L’investissement socialement responsable</w:t>
      </w:r>
      <w:r>
        <w:t xml:space="preserve"> tente d’équilibrer les rendements financiers et les bénéfices sociaux et environnementaux.</w:t>
      </w:r>
    </w:p>
    <w:p w14:paraId="4318BA46" w14:textId="6E5D566B" w:rsidR="002F46EC" w:rsidRDefault="00DD7D4D" w:rsidP="009A2C8D">
      <w:pPr>
        <w:pStyle w:val="List2"/>
        <w:widowControl/>
        <w:numPr>
          <w:ilvl w:val="0"/>
          <w:numId w:val="5"/>
        </w:numPr>
        <w:spacing w:line="276" w:lineRule="auto"/>
        <w:ind w:left="567" w:hanging="567"/>
      </w:pPr>
      <w:r>
        <w:rPr>
          <w:b/>
        </w:rPr>
        <w:t>« ISR »</w:t>
      </w:r>
      <w:r>
        <w:t xml:space="preserve"> est le sigle désignant l’investissement socialement responsable.  </w:t>
      </w:r>
    </w:p>
    <w:p w14:paraId="1C4B1517" w14:textId="0BF7FC3D" w:rsidR="00154411" w:rsidRPr="00F93C59" w:rsidRDefault="00154411" w:rsidP="009A2C8D">
      <w:pPr>
        <w:pStyle w:val="List2"/>
        <w:widowControl/>
        <w:numPr>
          <w:ilvl w:val="0"/>
          <w:numId w:val="5"/>
        </w:numPr>
        <w:spacing w:line="276" w:lineRule="auto"/>
        <w:ind w:left="567" w:hanging="567"/>
      </w:pPr>
      <w:r>
        <w:rPr>
          <w:b/>
        </w:rPr>
        <w:t>« L’évaluation de l’ISR »</w:t>
      </w:r>
      <w:r>
        <w:t xml:space="preserve"> consiste à vérifier les titres pour s’assurer qu’ils répondent à une norme en matière d’ISR. Les fonds Encasa et certains fonds communs de placement se servent de l’évaluation de l’ISR. </w:t>
      </w:r>
    </w:p>
    <w:p w14:paraId="2A6EF7D7" w14:textId="72FB930E" w:rsidR="00154411" w:rsidRPr="00992817" w:rsidRDefault="00154411" w:rsidP="00711DFE">
      <w:pPr>
        <w:pStyle w:val="Heading1"/>
        <w:widowControl/>
        <w:numPr>
          <w:ilvl w:val="0"/>
          <w:numId w:val="0"/>
        </w:numPr>
        <w:spacing w:line="276" w:lineRule="auto"/>
      </w:pPr>
      <w:bookmarkStart w:id="31" w:name="_Toc140063092"/>
      <w:r>
        <w:t>Annexe B : Portefeuille d’actifs</w:t>
      </w:r>
      <w:bookmarkEnd w:id="31"/>
      <w:r>
        <w:t xml:space="preserve"> </w:t>
      </w:r>
    </w:p>
    <w:p w14:paraId="2E66960F" w14:textId="77777777" w:rsidR="009071D7" w:rsidRPr="002C2C0D" w:rsidRDefault="00383451" w:rsidP="009A2C8D">
      <w:pPr>
        <w:pStyle w:val="Heading2"/>
        <w:widowControl/>
        <w:spacing w:line="276" w:lineRule="auto"/>
        <w:rPr>
          <w:sz w:val="22"/>
          <w:szCs w:val="22"/>
        </w:rPr>
      </w:pPr>
      <w:r>
        <w:rPr>
          <w:sz w:val="22"/>
        </w:rPr>
        <w:t>Le contrôle du portefeuille d’actifs est le principal moyen d’équilibrer le risque d’investissement et le taux de rendement de la coopérative.</w:t>
      </w:r>
    </w:p>
    <w:p w14:paraId="30977BB7" w14:textId="77777777" w:rsidR="00EC6105" w:rsidRPr="00EC6105" w:rsidRDefault="00EC6105" w:rsidP="009A2C8D">
      <w:pPr>
        <w:pStyle w:val="Heading2"/>
        <w:widowControl/>
        <w:spacing w:line="276" w:lineRule="auto"/>
        <w:rPr>
          <w:sz w:val="22"/>
          <w:szCs w:val="22"/>
        </w:rPr>
      </w:pPr>
    </w:p>
    <w:p w14:paraId="7B7FE328" w14:textId="0AEFF439" w:rsidR="00DD7D4D" w:rsidRDefault="00EC6105" w:rsidP="009A2C8D">
      <w:pPr>
        <w:pStyle w:val="Heading2"/>
        <w:widowControl/>
        <w:spacing w:line="276" w:lineRule="auto"/>
        <w:rPr>
          <w:sz w:val="22"/>
          <w:szCs w:val="22"/>
        </w:rPr>
      </w:pPr>
      <w:r>
        <w:rPr>
          <w:sz w:val="22"/>
        </w:rPr>
        <w:t xml:space="preserve">Le conseil d’administration consultera le conseiller externe en investissement de la coopérative pour décider du bon portefeuille d’actifs pour la coopérative. Le portefeuille d’actifs choisi doit tenir compte du plan de remplacement des immobilisations ou du plan de gestion des actifs de la coopérative. </w:t>
      </w:r>
    </w:p>
    <w:p w14:paraId="010051FD" w14:textId="77777777" w:rsidR="00DD7D4D" w:rsidRDefault="00DD7D4D" w:rsidP="009A2C8D">
      <w:pPr>
        <w:pStyle w:val="ListParagraph"/>
        <w:spacing w:line="276" w:lineRule="auto"/>
      </w:pPr>
    </w:p>
    <w:p w14:paraId="3E71F326" w14:textId="7EE1BE91" w:rsidR="00EC6105" w:rsidRPr="00D069B4" w:rsidRDefault="004C52D2" w:rsidP="009A2C8D">
      <w:pPr>
        <w:pStyle w:val="Heading2"/>
        <w:widowControl/>
        <w:spacing w:line="276" w:lineRule="auto"/>
        <w:rPr>
          <w:sz w:val="22"/>
          <w:szCs w:val="22"/>
        </w:rPr>
      </w:pPr>
      <w:r>
        <w:rPr>
          <w:sz w:val="22"/>
        </w:rPr>
        <w:t>Un exemple de portefeuille d’actifs est présenté ci-dessous. La coopérative suivra ce portefeuille d’actifs à moins que le conseil d’administration n’en adopte un autre selon les recommandations de son conseiller externe en investissement.</w:t>
      </w:r>
    </w:p>
    <w:p w14:paraId="3489C036" w14:textId="77777777" w:rsidR="00EC6105" w:rsidRPr="00992817" w:rsidRDefault="00EC6105" w:rsidP="009A2C8D">
      <w:pPr>
        <w:widowControl/>
        <w:spacing w:before="6" w:line="276" w:lineRule="auto"/>
        <w:rPr>
          <w:sz w:val="19"/>
          <w:szCs w:val="19"/>
        </w:rPr>
      </w:pPr>
    </w:p>
    <w:tbl>
      <w:tblPr>
        <w:tblStyle w:val="GridTable1Light-Accent51"/>
        <w:tblW w:w="9701" w:type="dxa"/>
        <w:jc w:val="center"/>
        <w:tblLayout w:type="fixed"/>
        <w:tblLook w:val="0020" w:firstRow="1" w:lastRow="0" w:firstColumn="0" w:lastColumn="0" w:noHBand="0" w:noVBand="0"/>
      </w:tblPr>
      <w:tblGrid>
        <w:gridCol w:w="2438"/>
        <w:gridCol w:w="2421"/>
        <w:gridCol w:w="2421"/>
        <w:gridCol w:w="2421"/>
      </w:tblGrid>
      <w:tr w:rsidR="00EC6105" w:rsidRPr="00992817" w14:paraId="3686D8C6" w14:textId="77777777" w:rsidTr="00C65A8F">
        <w:trPr>
          <w:cnfStyle w:val="100000000000" w:firstRow="1" w:lastRow="0" w:firstColumn="0" w:lastColumn="0" w:oddVBand="0" w:evenVBand="0" w:oddHBand="0" w:evenHBand="0" w:firstRowFirstColumn="0" w:firstRowLastColumn="0" w:lastRowFirstColumn="0" w:lastRowLastColumn="0"/>
          <w:trHeight w:hRule="exact" w:val="303"/>
          <w:jc w:val="center"/>
        </w:trPr>
        <w:tc>
          <w:tcPr>
            <w:tcW w:w="2438" w:type="dxa"/>
          </w:tcPr>
          <w:p w14:paraId="239FB56E" w14:textId="77777777" w:rsidR="00EC6105" w:rsidRPr="007B61FF" w:rsidRDefault="00EC6105" w:rsidP="009A2C8D">
            <w:pPr>
              <w:pStyle w:val="TableParagraph"/>
              <w:widowControl/>
              <w:spacing w:line="276" w:lineRule="auto"/>
              <w:ind w:left="102"/>
              <w:jc w:val="center"/>
              <w:rPr>
                <w:rFonts w:ascii="Calibri" w:eastAsia="Calibri" w:hAnsi="Calibri" w:cs="Calibri"/>
                <w:b w:val="0"/>
              </w:rPr>
            </w:pPr>
            <w:r>
              <w:rPr>
                <w:rFonts w:ascii="Calibri" w:hAnsi="Calibri"/>
              </w:rPr>
              <w:t>Classe d’actifs</w:t>
            </w:r>
          </w:p>
        </w:tc>
        <w:tc>
          <w:tcPr>
            <w:tcW w:w="2421" w:type="dxa"/>
          </w:tcPr>
          <w:p w14:paraId="41000052" w14:textId="77777777" w:rsidR="00EC6105" w:rsidRPr="007B61FF" w:rsidRDefault="00EC6105" w:rsidP="009A2C8D">
            <w:pPr>
              <w:pStyle w:val="TableParagraph"/>
              <w:widowControl/>
              <w:spacing w:line="276" w:lineRule="auto"/>
              <w:jc w:val="center"/>
              <w:rPr>
                <w:rFonts w:ascii="Calibri" w:eastAsia="Calibri" w:hAnsi="Calibri" w:cs="Calibri"/>
                <w:b w:val="0"/>
              </w:rPr>
            </w:pPr>
            <w:r>
              <w:rPr>
                <w:rFonts w:ascii="Calibri" w:hAnsi="Calibri"/>
              </w:rPr>
              <w:t>Montant recommandé</w:t>
            </w:r>
          </w:p>
        </w:tc>
        <w:tc>
          <w:tcPr>
            <w:tcW w:w="2421" w:type="dxa"/>
          </w:tcPr>
          <w:p w14:paraId="38192EF1" w14:textId="77777777" w:rsidR="00EC6105" w:rsidRPr="007B61FF" w:rsidRDefault="00EE7525" w:rsidP="009A2C8D">
            <w:pPr>
              <w:pStyle w:val="TableParagraph"/>
              <w:widowControl/>
              <w:spacing w:line="276" w:lineRule="auto"/>
              <w:ind w:left="102"/>
              <w:jc w:val="center"/>
              <w:rPr>
                <w:rFonts w:ascii="Calibri" w:eastAsia="Calibri" w:hAnsi="Calibri" w:cs="Calibri"/>
                <w:b w:val="0"/>
                <w:bCs w:val="0"/>
              </w:rPr>
            </w:pPr>
            <w:r>
              <w:rPr>
                <w:rFonts w:ascii="Calibri" w:hAnsi="Calibri"/>
              </w:rPr>
              <w:t>Minimum</w:t>
            </w:r>
          </w:p>
        </w:tc>
        <w:tc>
          <w:tcPr>
            <w:tcW w:w="2421" w:type="dxa"/>
          </w:tcPr>
          <w:p w14:paraId="392AB5A2" w14:textId="77777777" w:rsidR="00EC6105" w:rsidRPr="007B61FF" w:rsidRDefault="00EE7525" w:rsidP="009A2C8D">
            <w:pPr>
              <w:pStyle w:val="TableParagraph"/>
              <w:widowControl/>
              <w:spacing w:line="276" w:lineRule="auto"/>
              <w:ind w:left="102"/>
              <w:jc w:val="center"/>
              <w:rPr>
                <w:rFonts w:ascii="Calibri" w:eastAsia="Calibri" w:hAnsi="Calibri" w:cs="Calibri"/>
                <w:b w:val="0"/>
              </w:rPr>
            </w:pPr>
            <w:r>
              <w:rPr>
                <w:rFonts w:ascii="Calibri" w:hAnsi="Calibri"/>
              </w:rPr>
              <w:t>Maximum</w:t>
            </w:r>
          </w:p>
        </w:tc>
      </w:tr>
      <w:tr w:rsidR="00EC6105" w:rsidRPr="00992817" w14:paraId="18BC0A60" w14:textId="77777777" w:rsidTr="00C65A8F">
        <w:trPr>
          <w:trHeight w:hRule="exact" w:val="680"/>
          <w:jc w:val="center"/>
        </w:trPr>
        <w:tc>
          <w:tcPr>
            <w:tcW w:w="2438" w:type="dxa"/>
          </w:tcPr>
          <w:p w14:paraId="6E37045C" w14:textId="77777777" w:rsidR="00EC6105" w:rsidRPr="007B61FF" w:rsidRDefault="00EC6105" w:rsidP="009A2C8D">
            <w:pPr>
              <w:pStyle w:val="TableParagraph"/>
              <w:widowControl/>
              <w:spacing w:line="276" w:lineRule="auto"/>
              <w:ind w:left="102"/>
              <w:rPr>
                <w:rFonts w:ascii="Calibri" w:eastAsia="Calibri" w:hAnsi="Calibri" w:cs="Calibri"/>
              </w:rPr>
            </w:pPr>
            <w:r>
              <w:rPr>
                <w:rFonts w:ascii="Calibri" w:hAnsi="Calibri"/>
              </w:rPr>
              <w:t xml:space="preserve">Fonds liquides </w:t>
            </w:r>
          </w:p>
        </w:tc>
        <w:tc>
          <w:tcPr>
            <w:tcW w:w="2421" w:type="dxa"/>
          </w:tcPr>
          <w:p w14:paraId="4FAF34DB" w14:textId="6B686FAF" w:rsidR="00240369" w:rsidRDefault="00240369" w:rsidP="009A2C8D">
            <w:pPr>
              <w:pStyle w:val="TableParagraph"/>
              <w:widowControl/>
              <w:spacing w:line="276" w:lineRule="auto"/>
              <w:ind w:left="102"/>
              <w:jc w:val="center"/>
              <w:rPr>
                <w:rFonts w:ascii="Calibri" w:eastAsia="Calibri" w:hAnsi="Calibri" w:cs="Calibri"/>
              </w:rPr>
            </w:pPr>
            <w:r>
              <w:rPr>
                <w:rFonts w:ascii="Calibri" w:hAnsi="Calibri"/>
              </w:rPr>
              <w:t xml:space="preserve">70 % du potentiel mensuel brut de charges de logement </w:t>
            </w:r>
          </w:p>
          <w:p w14:paraId="0F8BA415" w14:textId="77777777" w:rsidR="00EC6105" w:rsidRPr="007B61FF" w:rsidRDefault="00EC6105" w:rsidP="009A2C8D">
            <w:pPr>
              <w:pStyle w:val="TableParagraph"/>
              <w:widowControl/>
              <w:spacing w:line="276" w:lineRule="auto"/>
              <w:ind w:left="102"/>
              <w:jc w:val="center"/>
              <w:rPr>
                <w:rFonts w:ascii="Calibri" w:eastAsia="Calibri" w:hAnsi="Calibri" w:cs="Calibri"/>
              </w:rPr>
            </w:pPr>
          </w:p>
        </w:tc>
        <w:tc>
          <w:tcPr>
            <w:tcW w:w="2421" w:type="dxa"/>
          </w:tcPr>
          <w:p w14:paraId="7B226A08" w14:textId="77777777" w:rsidR="00240369" w:rsidRDefault="00240369" w:rsidP="009A2C8D">
            <w:pPr>
              <w:pStyle w:val="TableParagraph"/>
              <w:widowControl/>
              <w:spacing w:line="276" w:lineRule="auto"/>
              <w:ind w:left="102"/>
              <w:jc w:val="center"/>
              <w:rPr>
                <w:rFonts w:ascii="Calibri" w:eastAsia="Calibri" w:hAnsi="Calibri" w:cs="Calibri"/>
              </w:rPr>
            </w:pPr>
            <w:r>
              <w:rPr>
                <w:rFonts w:ascii="Calibri" w:hAnsi="Calibri"/>
              </w:rPr>
              <w:t xml:space="preserve">50 % du potentiel mensuel brut de charges de logement </w:t>
            </w:r>
          </w:p>
          <w:p w14:paraId="724A9BC8" w14:textId="77777777" w:rsidR="00EC6105" w:rsidRPr="007B61FF" w:rsidRDefault="00EC6105" w:rsidP="009A2C8D">
            <w:pPr>
              <w:pStyle w:val="TableParagraph"/>
              <w:widowControl/>
              <w:spacing w:line="276" w:lineRule="auto"/>
              <w:ind w:left="102"/>
              <w:jc w:val="center"/>
              <w:rPr>
                <w:rFonts w:ascii="Calibri" w:eastAsia="Calibri" w:hAnsi="Calibri" w:cs="Calibri"/>
              </w:rPr>
            </w:pPr>
          </w:p>
        </w:tc>
        <w:tc>
          <w:tcPr>
            <w:tcW w:w="2421" w:type="dxa"/>
          </w:tcPr>
          <w:p w14:paraId="334730A2" w14:textId="77777777" w:rsidR="00240369" w:rsidRDefault="00240369" w:rsidP="009A2C8D">
            <w:pPr>
              <w:pStyle w:val="TableParagraph"/>
              <w:widowControl/>
              <w:spacing w:line="276" w:lineRule="auto"/>
              <w:ind w:left="102"/>
              <w:jc w:val="center"/>
              <w:rPr>
                <w:rFonts w:ascii="Calibri" w:eastAsia="Calibri" w:hAnsi="Calibri" w:cs="Calibri"/>
              </w:rPr>
            </w:pPr>
            <w:r>
              <w:rPr>
                <w:rFonts w:ascii="Calibri" w:hAnsi="Calibri"/>
              </w:rPr>
              <w:t xml:space="preserve">100 % du potentiel mensuel brut de charges de logement </w:t>
            </w:r>
          </w:p>
          <w:p w14:paraId="4D217CC2" w14:textId="77777777" w:rsidR="00EC6105" w:rsidRPr="007B61FF" w:rsidRDefault="00EC6105" w:rsidP="009A2C8D">
            <w:pPr>
              <w:pStyle w:val="TableParagraph"/>
              <w:widowControl/>
              <w:spacing w:line="276" w:lineRule="auto"/>
              <w:ind w:left="102"/>
              <w:jc w:val="center"/>
              <w:rPr>
                <w:rFonts w:ascii="Calibri" w:eastAsia="Calibri" w:hAnsi="Calibri" w:cs="Calibri"/>
              </w:rPr>
            </w:pPr>
          </w:p>
        </w:tc>
      </w:tr>
      <w:tr w:rsidR="00EC6105" w:rsidRPr="00992817" w14:paraId="4FC88C8E" w14:textId="77777777" w:rsidTr="00C65A8F">
        <w:trPr>
          <w:trHeight w:val="680"/>
          <w:jc w:val="center"/>
        </w:trPr>
        <w:tc>
          <w:tcPr>
            <w:tcW w:w="2438" w:type="dxa"/>
          </w:tcPr>
          <w:p w14:paraId="00E6CDEF" w14:textId="45392940" w:rsidR="00EC6105" w:rsidRPr="007B61FF" w:rsidRDefault="00EC6105" w:rsidP="009A2C8D">
            <w:pPr>
              <w:pStyle w:val="TableParagraph"/>
              <w:widowControl/>
              <w:spacing w:before="1" w:line="276" w:lineRule="auto"/>
              <w:ind w:left="102"/>
              <w:rPr>
                <w:rFonts w:ascii="Calibri" w:eastAsia="Calibri" w:hAnsi="Calibri" w:cs="Calibri"/>
              </w:rPr>
            </w:pPr>
            <w:r>
              <w:rPr>
                <w:rFonts w:ascii="Calibri" w:hAnsi="Calibri"/>
              </w:rPr>
              <w:lastRenderedPageBreak/>
              <w:t>Titres à revenu fixe</w:t>
            </w:r>
          </w:p>
        </w:tc>
        <w:tc>
          <w:tcPr>
            <w:tcW w:w="2421" w:type="dxa"/>
          </w:tcPr>
          <w:p w14:paraId="3177011F" w14:textId="77777777" w:rsidR="00EC6105" w:rsidRPr="007B61FF" w:rsidRDefault="00EC6105" w:rsidP="009A2C8D">
            <w:pPr>
              <w:pStyle w:val="TableParagraph"/>
              <w:widowControl/>
              <w:spacing w:before="1" w:line="276" w:lineRule="auto"/>
              <w:ind w:left="102"/>
              <w:jc w:val="center"/>
              <w:rPr>
                <w:rFonts w:ascii="Calibri" w:eastAsia="Calibri" w:hAnsi="Calibri" w:cs="Calibri"/>
              </w:rPr>
            </w:pPr>
            <w:r>
              <w:rPr>
                <w:rFonts w:ascii="Calibri" w:hAnsi="Calibri"/>
              </w:rPr>
              <w:t>75 % des actifs investis</w:t>
            </w:r>
          </w:p>
        </w:tc>
        <w:tc>
          <w:tcPr>
            <w:tcW w:w="2421" w:type="dxa"/>
          </w:tcPr>
          <w:p w14:paraId="3D72DE0D" w14:textId="77777777" w:rsidR="00EC6105" w:rsidRPr="007B61FF" w:rsidRDefault="00EC6105" w:rsidP="009A2C8D">
            <w:pPr>
              <w:pStyle w:val="TableParagraph"/>
              <w:widowControl/>
              <w:spacing w:before="1" w:line="276" w:lineRule="auto"/>
              <w:ind w:left="102"/>
              <w:jc w:val="center"/>
              <w:rPr>
                <w:rFonts w:ascii="Calibri" w:eastAsia="Calibri" w:hAnsi="Calibri" w:cs="Calibri"/>
              </w:rPr>
            </w:pPr>
            <w:r>
              <w:rPr>
                <w:rFonts w:ascii="Calibri" w:hAnsi="Calibri"/>
              </w:rPr>
              <w:t>70 % des actifs investis</w:t>
            </w:r>
          </w:p>
        </w:tc>
        <w:tc>
          <w:tcPr>
            <w:tcW w:w="2421" w:type="dxa"/>
          </w:tcPr>
          <w:p w14:paraId="7ABD6B41" w14:textId="77777777" w:rsidR="00EC6105" w:rsidRPr="007B61FF" w:rsidRDefault="00EC6105" w:rsidP="009A2C8D">
            <w:pPr>
              <w:pStyle w:val="TableParagraph"/>
              <w:widowControl/>
              <w:spacing w:before="1" w:line="276" w:lineRule="auto"/>
              <w:ind w:left="102"/>
              <w:jc w:val="center"/>
              <w:rPr>
                <w:rFonts w:ascii="Calibri" w:eastAsia="Calibri" w:hAnsi="Calibri" w:cs="Calibri"/>
              </w:rPr>
            </w:pPr>
            <w:r>
              <w:rPr>
                <w:rFonts w:ascii="Calibri" w:hAnsi="Calibri"/>
              </w:rPr>
              <w:t>100 % des actifs investis</w:t>
            </w:r>
          </w:p>
        </w:tc>
      </w:tr>
      <w:tr w:rsidR="00EC6105" w:rsidRPr="00992817" w14:paraId="62DF9688" w14:textId="77777777" w:rsidTr="00C65A8F">
        <w:trPr>
          <w:trHeight w:val="680"/>
          <w:jc w:val="center"/>
        </w:trPr>
        <w:tc>
          <w:tcPr>
            <w:tcW w:w="2438" w:type="dxa"/>
          </w:tcPr>
          <w:p w14:paraId="5BC50BCF" w14:textId="77777777" w:rsidR="00EC6105" w:rsidRPr="007B61FF" w:rsidRDefault="00EC6105" w:rsidP="009A2C8D">
            <w:pPr>
              <w:pStyle w:val="TableParagraph"/>
              <w:widowControl/>
              <w:spacing w:line="276" w:lineRule="auto"/>
              <w:ind w:left="102"/>
              <w:rPr>
                <w:rFonts w:ascii="Calibri" w:eastAsia="Calibri" w:hAnsi="Calibri" w:cs="Calibri"/>
              </w:rPr>
            </w:pPr>
            <w:r>
              <w:rPr>
                <w:rFonts w:ascii="Calibri" w:hAnsi="Calibri"/>
              </w:rPr>
              <w:t>Capitaux propres</w:t>
            </w:r>
          </w:p>
        </w:tc>
        <w:tc>
          <w:tcPr>
            <w:tcW w:w="2421" w:type="dxa"/>
          </w:tcPr>
          <w:p w14:paraId="3162F771" w14:textId="77777777" w:rsidR="00EC6105" w:rsidRPr="007B61FF" w:rsidRDefault="00EC6105" w:rsidP="009A2C8D">
            <w:pPr>
              <w:pStyle w:val="TableParagraph"/>
              <w:widowControl/>
              <w:spacing w:line="276" w:lineRule="auto"/>
              <w:ind w:left="102"/>
              <w:jc w:val="center"/>
              <w:rPr>
                <w:rFonts w:ascii="Calibri" w:eastAsia="Calibri" w:hAnsi="Calibri" w:cs="Calibri"/>
              </w:rPr>
            </w:pPr>
            <w:r>
              <w:rPr>
                <w:rFonts w:ascii="Calibri" w:hAnsi="Calibri"/>
              </w:rPr>
              <w:t>15 à 20 % des actifs investis</w:t>
            </w:r>
          </w:p>
        </w:tc>
        <w:tc>
          <w:tcPr>
            <w:tcW w:w="2421" w:type="dxa"/>
          </w:tcPr>
          <w:p w14:paraId="3CBB6B77" w14:textId="77777777" w:rsidR="00EC6105" w:rsidRPr="007B61FF" w:rsidRDefault="00EC6105" w:rsidP="009A2C8D">
            <w:pPr>
              <w:pStyle w:val="TableParagraph"/>
              <w:widowControl/>
              <w:spacing w:line="276" w:lineRule="auto"/>
              <w:ind w:left="102"/>
              <w:jc w:val="center"/>
              <w:rPr>
                <w:rFonts w:ascii="Calibri" w:eastAsia="Calibri" w:hAnsi="Calibri" w:cs="Calibri"/>
                <w:bCs/>
              </w:rPr>
            </w:pPr>
            <w:r>
              <w:rPr>
                <w:rFonts w:ascii="Calibri" w:hAnsi="Calibri"/>
              </w:rPr>
              <w:t>0 % des actifs investis</w:t>
            </w:r>
          </w:p>
        </w:tc>
        <w:tc>
          <w:tcPr>
            <w:tcW w:w="2421" w:type="dxa"/>
          </w:tcPr>
          <w:p w14:paraId="7D167DA8" w14:textId="77777777" w:rsidR="00EC6105" w:rsidRPr="007B61FF" w:rsidRDefault="00EC6105" w:rsidP="009A2C8D">
            <w:pPr>
              <w:pStyle w:val="TableParagraph"/>
              <w:widowControl/>
              <w:spacing w:line="276" w:lineRule="auto"/>
              <w:ind w:left="102"/>
              <w:jc w:val="center"/>
              <w:rPr>
                <w:rFonts w:ascii="Calibri" w:eastAsia="Calibri" w:hAnsi="Calibri" w:cs="Calibri"/>
              </w:rPr>
            </w:pPr>
            <w:r>
              <w:rPr>
                <w:rFonts w:ascii="Calibri" w:hAnsi="Calibri"/>
              </w:rPr>
              <w:t>25 % des actifs investis</w:t>
            </w:r>
          </w:p>
        </w:tc>
      </w:tr>
    </w:tbl>
    <w:p w14:paraId="6AB21478" w14:textId="77777777" w:rsidR="00966E28" w:rsidRDefault="00966E28" w:rsidP="00966E28">
      <w:pPr>
        <w:pStyle w:val="Heading1"/>
        <w:widowControl/>
        <w:numPr>
          <w:ilvl w:val="0"/>
          <w:numId w:val="0"/>
        </w:numPr>
        <w:spacing w:line="276" w:lineRule="auto"/>
      </w:pPr>
    </w:p>
    <w:p w14:paraId="205D8B84" w14:textId="279B642F" w:rsidR="00966E28" w:rsidRPr="00992817" w:rsidRDefault="00966E28" w:rsidP="00966E28">
      <w:pPr>
        <w:pStyle w:val="Heading1"/>
        <w:widowControl/>
        <w:numPr>
          <w:ilvl w:val="0"/>
          <w:numId w:val="0"/>
        </w:numPr>
        <w:spacing w:line="276" w:lineRule="auto"/>
      </w:pPr>
      <w:bookmarkStart w:id="32" w:name="_Toc140063093"/>
      <w:r>
        <w:t>Annexe C : Normes de performance</w:t>
      </w:r>
      <w:bookmarkEnd w:id="32"/>
      <w:r>
        <w:t xml:space="preserve"> </w:t>
      </w:r>
    </w:p>
    <w:p w14:paraId="10D5B57A" w14:textId="77777777" w:rsidR="003147A8" w:rsidRPr="0087423C" w:rsidRDefault="0074308D" w:rsidP="009A2C8D">
      <w:pPr>
        <w:pStyle w:val="Heading2"/>
        <w:widowControl/>
        <w:spacing w:before="51" w:line="276" w:lineRule="auto"/>
        <w:rPr>
          <w:sz w:val="22"/>
          <w:szCs w:val="22"/>
        </w:rPr>
      </w:pPr>
      <w:r>
        <w:rPr>
          <w:sz w:val="22"/>
        </w:rPr>
        <w:t>Chaque indice de référence ci-dessous est un panier d’investissements appelé « indice ». Un indice comprend plusieurs titres d’une même classe d’actifs. Un seul taux de rendement est indiqué pour l’ensemble de l’indice. La coopérative peut utiliser les indices de référence pour évaluer dans quelle mesure elle investit son argent dans chaque classe d’actifs.</w:t>
      </w:r>
    </w:p>
    <w:p w14:paraId="719FC75C" w14:textId="77777777" w:rsidR="003147A8" w:rsidRPr="00992817" w:rsidRDefault="003147A8" w:rsidP="009A2C8D">
      <w:pPr>
        <w:pStyle w:val="Heading2"/>
        <w:widowControl/>
        <w:spacing w:before="51" w:line="276" w:lineRule="auto"/>
      </w:pPr>
    </w:p>
    <w:tbl>
      <w:tblPr>
        <w:tblStyle w:val="GridTable1Light-Accent11"/>
        <w:tblW w:w="0" w:type="auto"/>
        <w:jc w:val="center"/>
        <w:tblLook w:val="0620" w:firstRow="1" w:lastRow="0" w:firstColumn="0" w:lastColumn="0" w:noHBand="1" w:noVBand="1"/>
      </w:tblPr>
      <w:tblGrid>
        <w:gridCol w:w="2008"/>
        <w:gridCol w:w="4720"/>
      </w:tblGrid>
      <w:tr w:rsidR="003147A8" w:rsidRPr="00992817" w14:paraId="56FA580B" w14:textId="77777777" w:rsidTr="005F3660">
        <w:trPr>
          <w:cnfStyle w:val="100000000000" w:firstRow="1" w:lastRow="0" w:firstColumn="0" w:lastColumn="0" w:oddVBand="0" w:evenVBand="0" w:oddHBand="0" w:evenHBand="0" w:firstRowFirstColumn="0" w:firstRowLastColumn="0" w:lastRowFirstColumn="0" w:lastRowLastColumn="0"/>
          <w:jc w:val="center"/>
        </w:trPr>
        <w:tc>
          <w:tcPr>
            <w:tcW w:w="2008" w:type="dxa"/>
          </w:tcPr>
          <w:p w14:paraId="19AFFD8D" w14:textId="77777777" w:rsidR="003147A8" w:rsidRPr="0087423C" w:rsidRDefault="003147A8" w:rsidP="009A2C8D">
            <w:pPr>
              <w:pStyle w:val="Heading2"/>
              <w:widowControl/>
              <w:spacing w:before="51" w:line="276" w:lineRule="auto"/>
              <w:rPr>
                <w:b w:val="0"/>
                <w:sz w:val="22"/>
                <w:szCs w:val="22"/>
              </w:rPr>
            </w:pPr>
            <w:r>
              <w:rPr>
                <w:sz w:val="22"/>
              </w:rPr>
              <w:t>Classe d’actifs</w:t>
            </w:r>
          </w:p>
        </w:tc>
        <w:tc>
          <w:tcPr>
            <w:tcW w:w="4720" w:type="dxa"/>
          </w:tcPr>
          <w:p w14:paraId="0F9EB7B5" w14:textId="77777777" w:rsidR="003147A8" w:rsidRPr="0087423C" w:rsidRDefault="003147A8" w:rsidP="009A2C8D">
            <w:pPr>
              <w:pStyle w:val="Heading2"/>
              <w:widowControl/>
              <w:spacing w:before="51" w:line="276" w:lineRule="auto"/>
              <w:rPr>
                <w:b w:val="0"/>
                <w:sz w:val="22"/>
                <w:szCs w:val="22"/>
              </w:rPr>
            </w:pPr>
            <w:r>
              <w:rPr>
                <w:sz w:val="22"/>
              </w:rPr>
              <w:t>Indice de référence</w:t>
            </w:r>
          </w:p>
        </w:tc>
      </w:tr>
      <w:tr w:rsidR="003147A8" w:rsidRPr="00992817" w14:paraId="04DCE552" w14:textId="77777777" w:rsidTr="005F3660">
        <w:trPr>
          <w:jc w:val="center"/>
        </w:trPr>
        <w:tc>
          <w:tcPr>
            <w:tcW w:w="2008" w:type="dxa"/>
          </w:tcPr>
          <w:p w14:paraId="5D108E2A" w14:textId="77777777" w:rsidR="003147A8" w:rsidRPr="0087423C" w:rsidRDefault="003147A8" w:rsidP="009A2C8D">
            <w:pPr>
              <w:pStyle w:val="Heading2"/>
              <w:widowControl/>
              <w:spacing w:before="51" w:line="276" w:lineRule="auto"/>
              <w:rPr>
                <w:sz w:val="22"/>
                <w:szCs w:val="22"/>
              </w:rPr>
            </w:pPr>
            <w:r>
              <w:rPr>
                <w:sz w:val="22"/>
              </w:rPr>
              <w:t xml:space="preserve">Fonds liquides </w:t>
            </w:r>
          </w:p>
        </w:tc>
        <w:tc>
          <w:tcPr>
            <w:tcW w:w="4720" w:type="dxa"/>
          </w:tcPr>
          <w:p w14:paraId="5F2AB7E0" w14:textId="77777777" w:rsidR="003147A8" w:rsidRPr="0087423C" w:rsidRDefault="003147A8" w:rsidP="009A2C8D">
            <w:pPr>
              <w:pStyle w:val="Heading2"/>
              <w:widowControl/>
              <w:spacing w:before="51" w:line="276" w:lineRule="auto"/>
              <w:rPr>
                <w:sz w:val="22"/>
                <w:szCs w:val="22"/>
              </w:rPr>
            </w:pPr>
            <w:commentRangeStart w:id="33"/>
            <w:r>
              <w:rPr>
                <w:sz w:val="22"/>
              </w:rPr>
              <w:t xml:space="preserve">Indice DEX des bons </w:t>
            </w:r>
            <w:commentRangeEnd w:id="33"/>
            <w:r w:rsidR="0097080B">
              <w:rPr>
                <w:rStyle w:val="CommentReference"/>
                <w:rFonts w:asciiTheme="minorHAnsi" w:eastAsiaTheme="minorHAnsi" w:hAnsiTheme="minorHAnsi"/>
              </w:rPr>
              <w:commentReference w:id="33"/>
            </w:r>
            <w:r>
              <w:rPr>
                <w:sz w:val="22"/>
              </w:rPr>
              <w:t>du Trésor à 91 jours</w:t>
            </w:r>
          </w:p>
        </w:tc>
      </w:tr>
      <w:tr w:rsidR="003147A8" w:rsidRPr="00992817" w14:paraId="2E19F03E" w14:textId="77777777" w:rsidTr="005F3660">
        <w:trPr>
          <w:jc w:val="center"/>
        </w:trPr>
        <w:tc>
          <w:tcPr>
            <w:tcW w:w="2008" w:type="dxa"/>
          </w:tcPr>
          <w:p w14:paraId="29561F35" w14:textId="77777777" w:rsidR="003147A8" w:rsidRPr="0087423C" w:rsidRDefault="003147A8" w:rsidP="009A2C8D">
            <w:pPr>
              <w:pStyle w:val="Heading2"/>
              <w:widowControl/>
              <w:spacing w:before="51" w:line="276" w:lineRule="auto"/>
              <w:rPr>
                <w:sz w:val="22"/>
                <w:szCs w:val="22"/>
              </w:rPr>
            </w:pPr>
            <w:r>
              <w:rPr>
                <w:sz w:val="22"/>
              </w:rPr>
              <w:t>Revenu fixe</w:t>
            </w:r>
          </w:p>
        </w:tc>
        <w:tc>
          <w:tcPr>
            <w:tcW w:w="4720" w:type="dxa"/>
          </w:tcPr>
          <w:p w14:paraId="67F7F25E" w14:textId="77777777" w:rsidR="003147A8" w:rsidRPr="0087423C" w:rsidRDefault="0045226E" w:rsidP="009A2C8D">
            <w:pPr>
              <w:pStyle w:val="Heading2"/>
              <w:widowControl/>
              <w:spacing w:before="51" w:line="276" w:lineRule="auto"/>
              <w:rPr>
                <w:sz w:val="22"/>
                <w:szCs w:val="22"/>
              </w:rPr>
            </w:pPr>
            <w:r>
              <w:rPr>
                <w:sz w:val="22"/>
              </w:rPr>
              <w:t>Indice obligataire universel FTSE Russell</w:t>
            </w:r>
          </w:p>
        </w:tc>
      </w:tr>
      <w:tr w:rsidR="003147A8" w:rsidRPr="00992817" w14:paraId="4A0C31C3" w14:textId="77777777" w:rsidTr="005F3660">
        <w:trPr>
          <w:jc w:val="center"/>
        </w:trPr>
        <w:tc>
          <w:tcPr>
            <w:tcW w:w="2008" w:type="dxa"/>
          </w:tcPr>
          <w:p w14:paraId="34224A2C" w14:textId="77777777" w:rsidR="003147A8" w:rsidRPr="0087423C" w:rsidRDefault="003147A8" w:rsidP="009A2C8D">
            <w:pPr>
              <w:pStyle w:val="Heading2"/>
              <w:widowControl/>
              <w:spacing w:before="51" w:line="276" w:lineRule="auto"/>
              <w:rPr>
                <w:sz w:val="22"/>
                <w:szCs w:val="22"/>
              </w:rPr>
            </w:pPr>
            <w:r>
              <w:rPr>
                <w:sz w:val="22"/>
              </w:rPr>
              <w:t>Action</w:t>
            </w:r>
          </w:p>
        </w:tc>
        <w:tc>
          <w:tcPr>
            <w:tcW w:w="4720" w:type="dxa"/>
          </w:tcPr>
          <w:p w14:paraId="2284570C" w14:textId="0036F773" w:rsidR="003147A8" w:rsidRPr="0087423C" w:rsidRDefault="003147A8" w:rsidP="009A2C8D">
            <w:pPr>
              <w:pStyle w:val="Heading2"/>
              <w:widowControl/>
              <w:spacing w:before="51" w:line="276" w:lineRule="auto"/>
              <w:rPr>
                <w:sz w:val="22"/>
                <w:szCs w:val="22"/>
              </w:rPr>
            </w:pPr>
            <w:r>
              <w:rPr>
                <w:sz w:val="22"/>
              </w:rPr>
              <w:t>Indice de rendement total S&amp;P/TSX ou indice de rendement total MSCI World</w:t>
            </w:r>
          </w:p>
        </w:tc>
      </w:tr>
    </w:tbl>
    <w:p w14:paraId="50DDEDD7" w14:textId="77777777" w:rsidR="003147A8" w:rsidRPr="00992817" w:rsidRDefault="003147A8" w:rsidP="009A2C8D">
      <w:pPr>
        <w:pStyle w:val="Heading2"/>
        <w:widowControl/>
        <w:spacing w:before="51" w:line="276" w:lineRule="auto"/>
      </w:pPr>
    </w:p>
    <w:p w14:paraId="6CFA2F70" w14:textId="77777777" w:rsidR="00833E48" w:rsidRPr="00992817" w:rsidRDefault="00833E48" w:rsidP="009A2C8D">
      <w:pPr>
        <w:pStyle w:val="Heading2"/>
        <w:widowControl/>
        <w:spacing w:before="51" w:line="276" w:lineRule="auto"/>
      </w:pPr>
    </w:p>
    <w:sectPr w:rsidR="00833E48" w:rsidRPr="00992817" w:rsidSect="00DA2CBC">
      <w:pgSz w:w="12240" w:h="15840"/>
      <w:pgMar w:top="1531" w:right="1304" w:bottom="1531" w:left="130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initials="A">
    <w:p w14:paraId="0DF437A8" w14:textId="77777777" w:rsidR="00305F2B" w:rsidRDefault="0097080B" w:rsidP="00816829">
      <w:pPr>
        <w:pStyle w:val="CommentText"/>
      </w:pPr>
      <w:r>
        <w:rPr>
          <w:rStyle w:val="CommentReference"/>
        </w:rPr>
        <w:annotationRef/>
      </w:r>
      <w:r w:rsidR="00305F2B">
        <w:t>Question pending - This sentence may need to be deleted or modified depending on the selected option</w:t>
      </w:r>
    </w:p>
  </w:comment>
  <w:comment w:id="19" w:author="Author" w:initials="A">
    <w:p w14:paraId="063E147E" w14:textId="77777777" w:rsidR="00305F2B" w:rsidRDefault="0097080B" w:rsidP="00E5140A">
      <w:pPr>
        <w:pStyle w:val="CommentText"/>
      </w:pPr>
      <w:r>
        <w:rPr>
          <w:rStyle w:val="CommentReference"/>
        </w:rPr>
        <w:annotationRef/>
      </w:r>
      <w:r w:rsidR="00305F2B">
        <w:t>Question pending - This term was translated freely and might need to be updated</w:t>
      </w:r>
    </w:p>
  </w:comment>
  <w:comment w:id="28" w:author="Author" w:initials="A">
    <w:p w14:paraId="014A89DE" w14:textId="77777777" w:rsidR="00305F2B" w:rsidRDefault="0097080B" w:rsidP="00087087">
      <w:pPr>
        <w:pStyle w:val="CommentText"/>
      </w:pPr>
      <w:r>
        <w:rPr>
          <w:rStyle w:val="CommentReference"/>
        </w:rPr>
        <w:annotationRef/>
      </w:r>
      <w:r w:rsidR="00305F2B">
        <w:t>Question pending - This term was translated freely and might need to be updated</w:t>
      </w:r>
    </w:p>
  </w:comment>
  <w:comment w:id="29" w:author="Author" w:initials="A">
    <w:p w14:paraId="3910E9A9" w14:textId="77777777" w:rsidR="00305F2B" w:rsidRDefault="0097080B" w:rsidP="00551CC9">
      <w:pPr>
        <w:pStyle w:val="CommentText"/>
      </w:pPr>
      <w:r>
        <w:rPr>
          <w:rStyle w:val="CommentReference"/>
        </w:rPr>
        <w:annotationRef/>
      </w:r>
      <w:r w:rsidR="00305F2B">
        <w:t>Question pending - This term was translated freely and might need to be updated</w:t>
      </w:r>
    </w:p>
  </w:comment>
  <w:comment w:id="33" w:author="Author" w:initials="A">
    <w:p w14:paraId="24329B23" w14:textId="77777777" w:rsidR="00305F2B" w:rsidRDefault="0097080B" w:rsidP="00B02686">
      <w:pPr>
        <w:pStyle w:val="CommentText"/>
      </w:pPr>
      <w:r>
        <w:rPr>
          <w:rStyle w:val="CommentReference"/>
        </w:rPr>
        <w:annotationRef/>
      </w:r>
      <w:r w:rsidR="00305F2B">
        <w:t>Question pending - DEX might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437A8" w15:done="0"/>
  <w15:commentEx w15:paraId="063E147E" w15:done="0"/>
  <w15:commentEx w15:paraId="014A89DE" w15:done="0"/>
  <w15:commentEx w15:paraId="3910E9A9" w15:done="0"/>
  <w15:commentEx w15:paraId="24329B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437A8" w16cid:durableId="28593666"/>
  <w16cid:commentId w16cid:paraId="063E147E" w16cid:durableId="2859362C"/>
  <w16cid:commentId w16cid:paraId="014A89DE" w16cid:durableId="285935CD"/>
  <w16cid:commentId w16cid:paraId="3910E9A9" w16cid:durableId="285935D8"/>
  <w16cid:commentId w16cid:paraId="24329B23" w16cid:durableId="28593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E880" w14:textId="77777777" w:rsidR="001F4363" w:rsidRDefault="001F4363">
      <w:r>
        <w:separator/>
      </w:r>
    </w:p>
  </w:endnote>
  <w:endnote w:type="continuationSeparator" w:id="0">
    <w:p w14:paraId="5549032F" w14:textId="77777777" w:rsidR="001F4363" w:rsidRDefault="001F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nst777 Lt BT">
    <w:altName w:val="Lucida Sans Uni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B280" w14:textId="77777777" w:rsidR="00835AF6" w:rsidRDefault="0083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42E5" w14:textId="77777777" w:rsidR="00835AF6" w:rsidRDefault="0083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F9D8" w14:textId="77777777" w:rsidR="00835AF6" w:rsidRDefault="00835A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FACD" w14:textId="1A35FAB1" w:rsidR="00575B05" w:rsidRDefault="00612795" w:rsidP="005F3660">
    <w:pPr>
      <w:pStyle w:val="Footer"/>
      <w:pBdr>
        <w:top w:val="thinThickSmallGap" w:sz="24" w:space="1" w:color="0070C0"/>
      </w:pBdr>
      <w:rPr>
        <w:rFonts w:eastAsiaTheme="majorEastAsia" w:cstheme="minorHAnsi"/>
        <w:noProof/>
        <w:sz w:val="20"/>
        <w:szCs w:val="20"/>
      </w:rPr>
    </w:pPr>
    <w:r>
      <w:rPr>
        <w:sz w:val="20"/>
      </w:rPr>
      <w:t xml:space="preserve">Politique d’investissement </w:t>
    </w:r>
    <w:r>
      <w:rPr>
        <w:rStyle w:val="PageNumber"/>
        <w:rFonts w:ascii="Humnst777 Lt BT" w:hAnsi="Humnst777 Lt BT"/>
        <w:i/>
        <w:color w:val="auto"/>
        <w:sz w:val="16"/>
      </w:rPr>
      <w:t>© FHCC, 2023</w:t>
    </w:r>
    <w:r>
      <w:rPr>
        <w:sz w:val="20"/>
      </w:rPr>
      <w:t xml:space="preserve"> </w:t>
    </w:r>
    <w:r>
      <w:rPr>
        <w:sz w:val="20"/>
      </w:rPr>
      <w:ptab w:relativeTo="margin" w:alignment="right" w:leader="none"/>
    </w:r>
    <w:r>
      <w:rPr>
        <w:sz w:val="20"/>
      </w:rPr>
      <w:t xml:space="preserve">Page </w:t>
    </w:r>
    <w:r w:rsidR="00575B05" w:rsidRPr="00834B97">
      <w:rPr>
        <w:rFonts w:eastAsiaTheme="minorEastAsia" w:cstheme="minorHAnsi"/>
        <w:sz w:val="20"/>
      </w:rPr>
      <w:fldChar w:fldCharType="begin"/>
    </w:r>
    <w:r w:rsidR="00575B05" w:rsidRPr="00834B97">
      <w:rPr>
        <w:rFonts w:cstheme="minorHAnsi"/>
        <w:sz w:val="20"/>
      </w:rPr>
      <w:instrText xml:space="preserve"> PAGE   \* MERGEFORMAT </w:instrText>
    </w:r>
    <w:r w:rsidR="00575B05" w:rsidRPr="00834B97">
      <w:rPr>
        <w:rFonts w:eastAsiaTheme="minorEastAsia" w:cstheme="minorHAnsi"/>
        <w:sz w:val="20"/>
      </w:rPr>
      <w:fldChar w:fldCharType="separate"/>
    </w:r>
    <w:r w:rsidRPr="00612795">
      <w:rPr>
        <w:rFonts w:eastAsiaTheme="majorEastAsia" w:cstheme="minorHAnsi"/>
        <w:sz w:val="20"/>
      </w:rPr>
      <w:t>6</w:t>
    </w:r>
    <w:r w:rsidR="00575B05" w:rsidRPr="00834B97">
      <w:rPr>
        <w:rFonts w:eastAsiaTheme="majorEastAsia" w:cstheme="minorHAnsi"/>
        <w:sz w:val="20"/>
      </w:rPr>
      <w:fldChar w:fldCharType="end"/>
    </w:r>
  </w:p>
  <w:p w14:paraId="67357BBC" w14:textId="77777777" w:rsidR="00765020" w:rsidRPr="00834B97" w:rsidRDefault="00765020" w:rsidP="005F3660">
    <w:pPr>
      <w:pStyle w:val="Footer"/>
      <w:pBdr>
        <w:top w:val="thinThickSmallGap" w:sz="24" w:space="1" w:color="0070C0"/>
      </w:pBdr>
      <w:rPr>
        <w:rFonts w:eastAsiaTheme="majorEastAsia" w:cstheme="minorHAnsi"/>
        <w:sz w:val="20"/>
        <w:szCs w:val="20"/>
      </w:rPr>
    </w:pPr>
  </w:p>
  <w:p w14:paraId="51094D88" w14:textId="77777777" w:rsidR="00575B05" w:rsidRDefault="00575B0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023B" w14:textId="77777777" w:rsidR="001F4363" w:rsidRDefault="001F4363">
      <w:r>
        <w:separator/>
      </w:r>
    </w:p>
  </w:footnote>
  <w:footnote w:type="continuationSeparator" w:id="0">
    <w:p w14:paraId="42F5C264" w14:textId="77777777" w:rsidR="001F4363" w:rsidRDefault="001F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307F" w14:textId="77777777" w:rsidR="00835AF6" w:rsidRDefault="00835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D8C9" w14:textId="77777777" w:rsidR="00835AF6" w:rsidRDefault="00835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F0DF" w14:textId="77777777" w:rsidR="00835AF6" w:rsidRDefault="0083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44C"/>
    <w:multiLevelType w:val="multilevel"/>
    <w:tmpl w:val="0344B97A"/>
    <w:lvl w:ilvl="0">
      <w:start w:val="1"/>
      <w:numFmt w:val="decimal"/>
      <w:pStyle w:val="Heading1"/>
      <w:suff w:val="space"/>
      <w:lvlText w:val="Article %1:"/>
      <w:lvlJc w:val="left"/>
      <w:pPr>
        <w:ind w:left="0" w:firstLine="297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
      <w:lvlText w:val="%1.%2"/>
      <w:lvlJc w:val="left"/>
      <w:pPr>
        <w:ind w:left="0" w:firstLine="0"/>
      </w:pPr>
      <w:rPr>
        <w:rFonts w:hint="default"/>
      </w:rPr>
    </w:lvl>
    <w:lvl w:ilvl="2">
      <w:start w:val="1"/>
      <w:numFmt w:val="lowerLetter"/>
      <w:pStyle w:val="List2"/>
      <w:lvlText w:val="(%3)"/>
      <w:lvlJc w:val="left"/>
      <w:pPr>
        <w:ind w:left="0" w:firstLine="0"/>
      </w:pPr>
      <w:rPr>
        <w:rFonts w:hint="default"/>
      </w:rPr>
    </w:lvl>
    <w:lvl w:ilvl="3">
      <w:start w:val="1"/>
      <w:numFmt w:val="bullet"/>
      <w:lvlText w:val=""/>
      <w:lvlJc w:val="left"/>
      <w:pPr>
        <w:ind w:left="0" w:firstLine="0"/>
      </w:pPr>
      <w:rPr>
        <w:rFonts w:ascii="Wingdings" w:hAnsi="Wingdings" w:hint="default"/>
        <w:b w:val="0"/>
        <w:i w:val="0"/>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3307C6A"/>
    <w:multiLevelType w:val="multilevel"/>
    <w:tmpl w:val="6B5E5C6C"/>
    <w:lvl w:ilvl="0">
      <w:start w:val="2"/>
      <w:numFmt w:val="decimal"/>
      <w:lvlText w:val="%1"/>
      <w:lvlJc w:val="left"/>
      <w:pPr>
        <w:ind w:hanging="632"/>
      </w:pPr>
      <w:rPr>
        <w:rFonts w:hint="default"/>
      </w:rPr>
    </w:lvl>
    <w:lvl w:ilvl="1">
      <w:start w:val="1"/>
      <w:numFmt w:val="decimal"/>
      <w:lvlText w:val="%1.%2"/>
      <w:lvlJc w:val="left"/>
      <w:pPr>
        <w:ind w:hanging="632"/>
      </w:pPr>
      <w:rPr>
        <w:rFonts w:ascii="Calibri" w:eastAsia="Calibri" w:hAnsi="Calibri" w:hint="default"/>
        <w:sz w:val="22"/>
        <w:szCs w:val="22"/>
      </w:rPr>
    </w:lvl>
    <w:lvl w:ilvl="2">
      <w:start w:val="1"/>
      <w:numFmt w:val="bullet"/>
      <w:lvlText w:val="•"/>
      <w:lvlJc w:val="left"/>
      <w:pPr>
        <w:ind w:hanging="36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D93373"/>
    <w:multiLevelType w:val="multilevel"/>
    <w:tmpl w:val="1C427224"/>
    <w:lvl w:ilvl="0">
      <w:start w:val="2"/>
      <w:numFmt w:val="decimal"/>
      <w:lvlText w:val="%1"/>
      <w:lvlJc w:val="left"/>
      <w:pPr>
        <w:ind w:hanging="632"/>
      </w:pPr>
      <w:rPr>
        <w:rFonts w:hint="default"/>
      </w:rPr>
    </w:lvl>
    <w:lvl w:ilvl="1">
      <w:start w:val="1"/>
      <w:numFmt w:val="decimal"/>
      <w:lvlText w:val="%1.%2"/>
      <w:lvlJc w:val="left"/>
      <w:pPr>
        <w:ind w:hanging="632"/>
      </w:pPr>
      <w:rPr>
        <w:rFonts w:ascii="Calibri" w:eastAsia="Calibri" w:hAnsi="Calibri" w:hint="default"/>
        <w:sz w:val="22"/>
        <w:szCs w:val="22"/>
      </w:rPr>
    </w:lvl>
    <w:lvl w:ilvl="2">
      <w:start w:val="1"/>
      <w:numFmt w:val="bullet"/>
      <w:lvlText w:val=""/>
      <w:lvlJc w:val="left"/>
      <w:pPr>
        <w:ind w:hanging="360"/>
      </w:pPr>
      <w:rPr>
        <w:rFonts w:ascii="Wingdings" w:hAnsi="Wingdings" w:hint="default"/>
        <w:w w:val="131"/>
        <w:sz w:val="22"/>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3453E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FA67D6"/>
    <w:multiLevelType w:val="multilevel"/>
    <w:tmpl w:val="3E78CF88"/>
    <w:lvl w:ilvl="0">
      <w:start w:val="3"/>
      <w:numFmt w:val="decimal"/>
      <w:lvlText w:val="%1"/>
      <w:lvlJc w:val="left"/>
      <w:pPr>
        <w:ind w:left="0" w:hanging="632"/>
      </w:pPr>
      <w:rPr>
        <w:rFonts w:hint="default"/>
      </w:rPr>
    </w:lvl>
    <w:lvl w:ilvl="1">
      <w:start w:val="1"/>
      <w:numFmt w:val="decimal"/>
      <w:lvlText w:val="%1.%2"/>
      <w:lvlJc w:val="left"/>
      <w:pPr>
        <w:ind w:left="0" w:hanging="632"/>
      </w:pPr>
      <w:rPr>
        <w:rFonts w:ascii="Calibri" w:eastAsia="Calibri" w:hAnsi="Calibri" w:hint="default"/>
        <w:sz w:val="22"/>
        <w:szCs w:val="22"/>
      </w:rPr>
    </w:lvl>
    <w:lvl w:ilvl="2">
      <w:start w:val="1"/>
      <w:numFmt w:val="lowerLetter"/>
      <w:lvlText w:val="(%3)"/>
      <w:lvlJc w:val="left"/>
      <w:pPr>
        <w:ind w:left="0" w:hanging="721"/>
      </w:pPr>
      <w:rPr>
        <w:rFonts w:ascii="Calibri" w:eastAsia="Calibri" w:hAnsi="Calibri"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2358239C"/>
    <w:multiLevelType w:val="hybridMultilevel"/>
    <w:tmpl w:val="9F90D7F4"/>
    <w:lvl w:ilvl="0" w:tplc="77C4181C">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935A20"/>
    <w:multiLevelType w:val="hybridMultilevel"/>
    <w:tmpl w:val="863637B6"/>
    <w:lvl w:ilvl="0" w:tplc="B5B6BB92">
      <w:start w:val="1"/>
      <w:numFmt w:val="bullet"/>
      <w:lvlText w:val=""/>
      <w:lvlJc w:val="left"/>
      <w:pPr>
        <w:ind w:left="720" w:hanging="360"/>
      </w:pPr>
      <w:rPr>
        <w:rFonts w:ascii="Wingdings" w:hAnsi="Wingdings"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2D5063"/>
    <w:multiLevelType w:val="hybridMultilevel"/>
    <w:tmpl w:val="4B4ABDF8"/>
    <w:lvl w:ilvl="0" w:tplc="B5B6BB92">
      <w:start w:val="1"/>
      <w:numFmt w:val="bullet"/>
      <w:lvlText w:val=""/>
      <w:lvlJc w:val="left"/>
      <w:pPr>
        <w:ind w:left="720" w:hanging="360"/>
      </w:pPr>
      <w:rPr>
        <w:rFonts w:ascii="Wingdings" w:hAnsi="Wingdings"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F64E3D"/>
    <w:multiLevelType w:val="hybridMultilevel"/>
    <w:tmpl w:val="59EC4234"/>
    <w:lvl w:ilvl="0" w:tplc="DA441500">
      <w:start w:val="1"/>
      <w:numFmt w:val="decimal"/>
      <w:lvlText w:val="%1."/>
      <w:lvlJc w:val="left"/>
      <w:pPr>
        <w:ind w:left="360" w:hanging="360"/>
      </w:pPr>
      <w:rPr>
        <w:rFonts w:ascii="Calibri" w:hAnsi="Calibri" w:hint="default"/>
        <w:b w:val="0"/>
        <w:i w:val="0"/>
        <w:sz w:val="22"/>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4022016"/>
    <w:multiLevelType w:val="multilevel"/>
    <w:tmpl w:val="5F3AA27E"/>
    <w:lvl w:ilvl="0">
      <w:start w:val="2"/>
      <w:numFmt w:val="decimal"/>
      <w:lvlText w:val="%1"/>
      <w:lvlJc w:val="left"/>
      <w:pPr>
        <w:ind w:hanging="632"/>
      </w:pPr>
      <w:rPr>
        <w:rFonts w:hint="default"/>
      </w:rPr>
    </w:lvl>
    <w:lvl w:ilvl="1">
      <w:start w:val="1"/>
      <w:numFmt w:val="decimal"/>
      <w:lvlText w:val="%1.%2"/>
      <w:lvlJc w:val="left"/>
      <w:pPr>
        <w:ind w:hanging="632"/>
      </w:pPr>
      <w:rPr>
        <w:rFonts w:ascii="Calibri" w:eastAsia="Calibri" w:hAnsi="Calibri" w:hint="default"/>
        <w:sz w:val="22"/>
        <w:szCs w:val="22"/>
      </w:rPr>
    </w:lvl>
    <w:lvl w:ilvl="2">
      <w:start w:val="1"/>
      <w:numFmt w:val="bullet"/>
      <w:lvlText w:val=""/>
      <w:lvlJc w:val="left"/>
      <w:pPr>
        <w:ind w:hanging="360"/>
      </w:pPr>
      <w:rPr>
        <w:rFonts w:ascii="Wingdings" w:hAnsi="Wingdings"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2261EBA"/>
    <w:multiLevelType w:val="multilevel"/>
    <w:tmpl w:val="94365E56"/>
    <w:lvl w:ilvl="0">
      <w:start w:val="1"/>
      <w:numFmt w:val="decimal"/>
      <w:suff w:val="space"/>
      <w:lvlText w:val="Article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41240866">
    <w:abstractNumId w:val="1"/>
  </w:num>
  <w:num w:numId="2" w16cid:durableId="277445886">
    <w:abstractNumId w:val="4"/>
  </w:num>
  <w:num w:numId="3" w16cid:durableId="295380329">
    <w:abstractNumId w:val="10"/>
  </w:num>
  <w:num w:numId="4" w16cid:durableId="144056755">
    <w:abstractNumId w:val="0"/>
  </w:num>
  <w:num w:numId="5" w16cid:durableId="1558973363">
    <w:abstractNumId w:val="8"/>
  </w:num>
  <w:num w:numId="6" w16cid:durableId="255796048">
    <w:abstractNumId w:val="0"/>
  </w:num>
  <w:num w:numId="7" w16cid:durableId="77412121">
    <w:abstractNumId w:val="3"/>
  </w:num>
  <w:num w:numId="8" w16cid:durableId="63919927">
    <w:abstractNumId w:val="0"/>
  </w:num>
  <w:num w:numId="9" w16cid:durableId="1661233067">
    <w:abstractNumId w:val="0"/>
  </w:num>
  <w:num w:numId="10" w16cid:durableId="1681004407">
    <w:abstractNumId w:val="7"/>
  </w:num>
  <w:num w:numId="11" w16cid:durableId="603922168">
    <w:abstractNumId w:val="0"/>
  </w:num>
  <w:num w:numId="12" w16cid:durableId="1585263875">
    <w:abstractNumId w:val="9"/>
  </w:num>
  <w:num w:numId="13" w16cid:durableId="788087563">
    <w:abstractNumId w:val="2"/>
  </w:num>
  <w:num w:numId="14" w16cid:durableId="2059430764">
    <w:abstractNumId w:val="6"/>
  </w:num>
  <w:num w:numId="15" w16cid:durableId="122309505">
    <w:abstractNumId w:val="5"/>
  </w:num>
  <w:num w:numId="16" w16cid:durableId="5879270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zQwNjcwMDczMzNQ0lEKTi0uzszPAykwrAUAWBDPjSwAAAA="/>
  </w:docVars>
  <w:rsids>
    <w:rsidRoot w:val="009071D7"/>
    <w:rsid w:val="0001587C"/>
    <w:rsid w:val="00016215"/>
    <w:rsid w:val="00020688"/>
    <w:rsid w:val="000302C6"/>
    <w:rsid w:val="000343F3"/>
    <w:rsid w:val="000400A7"/>
    <w:rsid w:val="00050361"/>
    <w:rsid w:val="00080C23"/>
    <w:rsid w:val="000835A5"/>
    <w:rsid w:val="00096A71"/>
    <w:rsid w:val="000A08E5"/>
    <w:rsid w:val="000A3822"/>
    <w:rsid w:val="000B1FFB"/>
    <w:rsid w:val="000C0FA3"/>
    <w:rsid w:val="000C4699"/>
    <w:rsid w:val="000D736C"/>
    <w:rsid w:val="000D78CB"/>
    <w:rsid w:val="000D7CD8"/>
    <w:rsid w:val="00101546"/>
    <w:rsid w:val="00103994"/>
    <w:rsid w:val="0010491F"/>
    <w:rsid w:val="001076A6"/>
    <w:rsid w:val="0011007E"/>
    <w:rsid w:val="0011129E"/>
    <w:rsid w:val="00112B89"/>
    <w:rsid w:val="0011300B"/>
    <w:rsid w:val="00122FE4"/>
    <w:rsid w:val="0012411E"/>
    <w:rsid w:val="00141A87"/>
    <w:rsid w:val="00141E9C"/>
    <w:rsid w:val="00154411"/>
    <w:rsid w:val="00154A7C"/>
    <w:rsid w:val="00155C6F"/>
    <w:rsid w:val="00172A5F"/>
    <w:rsid w:val="001800E2"/>
    <w:rsid w:val="0019220F"/>
    <w:rsid w:val="00194578"/>
    <w:rsid w:val="00197AC2"/>
    <w:rsid w:val="001A448B"/>
    <w:rsid w:val="001A5F09"/>
    <w:rsid w:val="001A7539"/>
    <w:rsid w:val="001B773F"/>
    <w:rsid w:val="001D6E44"/>
    <w:rsid w:val="001E4550"/>
    <w:rsid w:val="001F4363"/>
    <w:rsid w:val="00211BD1"/>
    <w:rsid w:val="002174D7"/>
    <w:rsid w:val="0022173E"/>
    <w:rsid w:val="00225049"/>
    <w:rsid w:val="00225DD2"/>
    <w:rsid w:val="00231E01"/>
    <w:rsid w:val="00235D04"/>
    <w:rsid w:val="00236A6B"/>
    <w:rsid w:val="00240369"/>
    <w:rsid w:val="0025625D"/>
    <w:rsid w:val="0025663F"/>
    <w:rsid w:val="002665C7"/>
    <w:rsid w:val="00266DE9"/>
    <w:rsid w:val="00272F85"/>
    <w:rsid w:val="00276B9E"/>
    <w:rsid w:val="0027773C"/>
    <w:rsid w:val="00277D0E"/>
    <w:rsid w:val="00292C05"/>
    <w:rsid w:val="00295A56"/>
    <w:rsid w:val="002B580D"/>
    <w:rsid w:val="002C2C0D"/>
    <w:rsid w:val="002D4483"/>
    <w:rsid w:val="002D5536"/>
    <w:rsid w:val="002E1D30"/>
    <w:rsid w:val="002F46EC"/>
    <w:rsid w:val="002F4FC6"/>
    <w:rsid w:val="003037D0"/>
    <w:rsid w:val="00305F2B"/>
    <w:rsid w:val="003066FC"/>
    <w:rsid w:val="00306C80"/>
    <w:rsid w:val="00306DA9"/>
    <w:rsid w:val="003077E8"/>
    <w:rsid w:val="003139FC"/>
    <w:rsid w:val="003147A8"/>
    <w:rsid w:val="003264C3"/>
    <w:rsid w:val="0033114C"/>
    <w:rsid w:val="00343FDA"/>
    <w:rsid w:val="00345E44"/>
    <w:rsid w:val="003649A2"/>
    <w:rsid w:val="00367F7B"/>
    <w:rsid w:val="00375FB6"/>
    <w:rsid w:val="00377A09"/>
    <w:rsid w:val="00383451"/>
    <w:rsid w:val="003839B8"/>
    <w:rsid w:val="003850EB"/>
    <w:rsid w:val="00397996"/>
    <w:rsid w:val="003A4040"/>
    <w:rsid w:val="003B00B1"/>
    <w:rsid w:val="003B05FF"/>
    <w:rsid w:val="003B1FB6"/>
    <w:rsid w:val="003E1880"/>
    <w:rsid w:val="003F0D3C"/>
    <w:rsid w:val="003F3377"/>
    <w:rsid w:val="0041206E"/>
    <w:rsid w:val="004146DA"/>
    <w:rsid w:val="00421EA4"/>
    <w:rsid w:val="00422473"/>
    <w:rsid w:val="00425C49"/>
    <w:rsid w:val="00430AD2"/>
    <w:rsid w:val="0043288A"/>
    <w:rsid w:val="0044387E"/>
    <w:rsid w:val="0045226E"/>
    <w:rsid w:val="00454431"/>
    <w:rsid w:val="00455A95"/>
    <w:rsid w:val="00456F27"/>
    <w:rsid w:val="00466457"/>
    <w:rsid w:val="00467D3A"/>
    <w:rsid w:val="00472350"/>
    <w:rsid w:val="00491DBF"/>
    <w:rsid w:val="00497466"/>
    <w:rsid w:val="004A5678"/>
    <w:rsid w:val="004B1B86"/>
    <w:rsid w:val="004C52D2"/>
    <w:rsid w:val="004F3931"/>
    <w:rsid w:val="005055D3"/>
    <w:rsid w:val="00510340"/>
    <w:rsid w:val="0053020B"/>
    <w:rsid w:val="005356EB"/>
    <w:rsid w:val="00545787"/>
    <w:rsid w:val="00554B54"/>
    <w:rsid w:val="00555DC5"/>
    <w:rsid w:val="00573186"/>
    <w:rsid w:val="00574B62"/>
    <w:rsid w:val="00575B05"/>
    <w:rsid w:val="005A2709"/>
    <w:rsid w:val="005A677E"/>
    <w:rsid w:val="005B16B9"/>
    <w:rsid w:val="005C732A"/>
    <w:rsid w:val="005E24A9"/>
    <w:rsid w:val="005F1F4D"/>
    <w:rsid w:val="005F3660"/>
    <w:rsid w:val="005F4132"/>
    <w:rsid w:val="005F749D"/>
    <w:rsid w:val="006052B4"/>
    <w:rsid w:val="00607CA0"/>
    <w:rsid w:val="00612795"/>
    <w:rsid w:val="00615C9A"/>
    <w:rsid w:val="00622E0F"/>
    <w:rsid w:val="0062435D"/>
    <w:rsid w:val="00641359"/>
    <w:rsid w:val="00675F09"/>
    <w:rsid w:val="006826D4"/>
    <w:rsid w:val="00696975"/>
    <w:rsid w:val="006C47CF"/>
    <w:rsid w:val="006C7AE3"/>
    <w:rsid w:val="006D6E62"/>
    <w:rsid w:val="006E3F7C"/>
    <w:rsid w:val="00711DFE"/>
    <w:rsid w:val="00713BC4"/>
    <w:rsid w:val="00723341"/>
    <w:rsid w:val="0072504B"/>
    <w:rsid w:val="00736619"/>
    <w:rsid w:val="00737CD5"/>
    <w:rsid w:val="0074308D"/>
    <w:rsid w:val="007523CD"/>
    <w:rsid w:val="00756430"/>
    <w:rsid w:val="007620F0"/>
    <w:rsid w:val="00765020"/>
    <w:rsid w:val="00765660"/>
    <w:rsid w:val="00767384"/>
    <w:rsid w:val="007678E8"/>
    <w:rsid w:val="00770067"/>
    <w:rsid w:val="0077323A"/>
    <w:rsid w:val="00796CAD"/>
    <w:rsid w:val="00797F54"/>
    <w:rsid w:val="007A53AA"/>
    <w:rsid w:val="007A580F"/>
    <w:rsid w:val="007B61FF"/>
    <w:rsid w:val="007B7FA4"/>
    <w:rsid w:val="007C6339"/>
    <w:rsid w:val="007D1604"/>
    <w:rsid w:val="007D7E0E"/>
    <w:rsid w:val="007F4923"/>
    <w:rsid w:val="00804E11"/>
    <w:rsid w:val="0081555F"/>
    <w:rsid w:val="00823AE7"/>
    <w:rsid w:val="00830502"/>
    <w:rsid w:val="00832799"/>
    <w:rsid w:val="00833E48"/>
    <w:rsid w:val="00834B97"/>
    <w:rsid w:val="00835AF6"/>
    <w:rsid w:val="00840053"/>
    <w:rsid w:val="0084562B"/>
    <w:rsid w:val="0085027F"/>
    <w:rsid w:val="00852BC8"/>
    <w:rsid w:val="008555A7"/>
    <w:rsid w:val="00856607"/>
    <w:rsid w:val="00865D28"/>
    <w:rsid w:val="00872A58"/>
    <w:rsid w:val="0087423C"/>
    <w:rsid w:val="008870CD"/>
    <w:rsid w:val="00895906"/>
    <w:rsid w:val="008B0DE0"/>
    <w:rsid w:val="008B48C9"/>
    <w:rsid w:val="008B7104"/>
    <w:rsid w:val="008D23D5"/>
    <w:rsid w:val="008D554F"/>
    <w:rsid w:val="008E0158"/>
    <w:rsid w:val="009039A3"/>
    <w:rsid w:val="009071D7"/>
    <w:rsid w:val="00922EE7"/>
    <w:rsid w:val="009244B4"/>
    <w:rsid w:val="00924A01"/>
    <w:rsid w:val="009402F5"/>
    <w:rsid w:val="00966E28"/>
    <w:rsid w:val="0097063F"/>
    <w:rsid w:val="0097080B"/>
    <w:rsid w:val="00973641"/>
    <w:rsid w:val="00982614"/>
    <w:rsid w:val="00992817"/>
    <w:rsid w:val="009977D2"/>
    <w:rsid w:val="009A2C8D"/>
    <w:rsid w:val="009A4908"/>
    <w:rsid w:val="009A75F1"/>
    <w:rsid w:val="009A7A00"/>
    <w:rsid w:val="009B1678"/>
    <w:rsid w:val="009C4936"/>
    <w:rsid w:val="009C68E6"/>
    <w:rsid w:val="009D276D"/>
    <w:rsid w:val="009E27BA"/>
    <w:rsid w:val="009E2D11"/>
    <w:rsid w:val="009F046F"/>
    <w:rsid w:val="009F1A62"/>
    <w:rsid w:val="009F2D31"/>
    <w:rsid w:val="009F5F6F"/>
    <w:rsid w:val="00A11B71"/>
    <w:rsid w:val="00A11C6C"/>
    <w:rsid w:val="00A1560F"/>
    <w:rsid w:val="00A20924"/>
    <w:rsid w:val="00A3381B"/>
    <w:rsid w:val="00A42B78"/>
    <w:rsid w:val="00A52A35"/>
    <w:rsid w:val="00A54714"/>
    <w:rsid w:val="00A54B7C"/>
    <w:rsid w:val="00A55C01"/>
    <w:rsid w:val="00A60DD0"/>
    <w:rsid w:val="00A63407"/>
    <w:rsid w:val="00A7212A"/>
    <w:rsid w:val="00A76E6F"/>
    <w:rsid w:val="00A93AE1"/>
    <w:rsid w:val="00A9595F"/>
    <w:rsid w:val="00AA2181"/>
    <w:rsid w:val="00AD545A"/>
    <w:rsid w:val="00AE4B85"/>
    <w:rsid w:val="00B16EDA"/>
    <w:rsid w:val="00B27F86"/>
    <w:rsid w:val="00B33173"/>
    <w:rsid w:val="00B40CA1"/>
    <w:rsid w:val="00B45F61"/>
    <w:rsid w:val="00B573C7"/>
    <w:rsid w:val="00B755C7"/>
    <w:rsid w:val="00B75DC1"/>
    <w:rsid w:val="00B76C48"/>
    <w:rsid w:val="00B803DC"/>
    <w:rsid w:val="00B95DE5"/>
    <w:rsid w:val="00BA79BD"/>
    <w:rsid w:val="00BC183D"/>
    <w:rsid w:val="00BE38DD"/>
    <w:rsid w:val="00C118A3"/>
    <w:rsid w:val="00C1714F"/>
    <w:rsid w:val="00C24C50"/>
    <w:rsid w:val="00C346D5"/>
    <w:rsid w:val="00C420F8"/>
    <w:rsid w:val="00C44C37"/>
    <w:rsid w:val="00C54391"/>
    <w:rsid w:val="00C57D54"/>
    <w:rsid w:val="00C65A8F"/>
    <w:rsid w:val="00C711F8"/>
    <w:rsid w:val="00C825B8"/>
    <w:rsid w:val="00C85920"/>
    <w:rsid w:val="00C86F90"/>
    <w:rsid w:val="00C8787C"/>
    <w:rsid w:val="00C90285"/>
    <w:rsid w:val="00C91784"/>
    <w:rsid w:val="00C93A41"/>
    <w:rsid w:val="00CA47C8"/>
    <w:rsid w:val="00CA75D1"/>
    <w:rsid w:val="00CB4D74"/>
    <w:rsid w:val="00CB4E64"/>
    <w:rsid w:val="00CB74BC"/>
    <w:rsid w:val="00CC175A"/>
    <w:rsid w:val="00CD1802"/>
    <w:rsid w:val="00CE1B5B"/>
    <w:rsid w:val="00CE1D36"/>
    <w:rsid w:val="00CE57A2"/>
    <w:rsid w:val="00CF2A6F"/>
    <w:rsid w:val="00D030C3"/>
    <w:rsid w:val="00D069B4"/>
    <w:rsid w:val="00D207DF"/>
    <w:rsid w:val="00D251F4"/>
    <w:rsid w:val="00D27F0A"/>
    <w:rsid w:val="00D4393D"/>
    <w:rsid w:val="00D6547A"/>
    <w:rsid w:val="00D7535D"/>
    <w:rsid w:val="00D76808"/>
    <w:rsid w:val="00D9412F"/>
    <w:rsid w:val="00D94DBC"/>
    <w:rsid w:val="00D95D5E"/>
    <w:rsid w:val="00D96714"/>
    <w:rsid w:val="00DA2CBC"/>
    <w:rsid w:val="00DC6E07"/>
    <w:rsid w:val="00DD5A43"/>
    <w:rsid w:val="00DD5AF6"/>
    <w:rsid w:val="00DD70C2"/>
    <w:rsid w:val="00DD7D4D"/>
    <w:rsid w:val="00DE13F8"/>
    <w:rsid w:val="00DF1FBE"/>
    <w:rsid w:val="00DF296F"/>
    <w:rsid w:val="00DF5762"/>
    <w:rsid w:val="00E01BED"/>
    <w:rsid w:val="00E22840"/>
    <w:rsid w:val="00E22855"/>
    <w:rsid w:val="00E23E2C"/>
    <w:rsid w:val="00E33301"/>
    <w:rsid w:val="00E34198"/>
    <w:rsid w:val="00E6601F"/>
    <w:rsid w:val="00E67954"/>
    <w:rsid w:val="00E759F6"/>
    <w:rsid w:val="00E874DE"/>
    <w:rsid w:val="00E962E2"/>
    <w:rsid w:val="00E976E9"/>
    <w:rsid w:val="00EA6AE0"/>
    <w:rsid w:val="00EB4437"/>
    <w:rsid w:val="00EC3BCF"/>
    <w:rsid w:val="00EC5249"/>
    <w:rsid w:val="00EC6105"/>
    <w:rsid w:val="00EC6509"/>
    <w:rsid w:val="00ED0599"/>
    <w:rsid w:val="00ED0D2D"/>
    <w:rsid w:val="00ED3423"/>
    <w:rsid w:val="00EE211F"/>
    <w:rsid w:val="00EE7525"/>
    <w:rsid w:val="00F11F58"/>
    <w:rsid w:val="00F220E2"/>
    <w:rsid w:val="00F3037D"/>
    <w:rsid w:val="00F315A1"/>
    <w:rsid w:val="00F3325A"/>
    <w:rsid w:val="00F4235A"/>
    <w:rsid w:val="00F43E02"/>
    <w:rsid w:val="00F64685"/>
    <w:rsid w:val="00F64A34"/>
    <w:rsid w:val="00F754D9"/>
    <w:rsid w:val="00F87A7D"/>
    <w:rsid w:val="00F92185"/>
    <w:rsid w:val="00F93C59"/>
    <w:rsid w:val="00F93F5F"/>
    <w:rsid w:val="00FA17A4"/>
    <w:rsid w:val="00FA1D54"/>
    <w:rsid w:val="00FA1DE8"/>
    <w:rsid w:val="00FD0AEC"/>
    <w:rsid w:val="00FD7311"/>
    <w:rsid w:val="00FE398E"/>
    <w:rsid w:val="00FE3F89"/>
    <w:rsid w:val="00FE53D0"/>
    <w:rsid w:val="00FE5D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E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7F7B"/>
  </w:style>
  <w:style w:type="paragraph" w:styleId="Heading1">
    <w:name w:val="heading 1"/>
    <w:basedOn w:val="Normal"/>
    <w:uiPriority w:val="1"/>
    <w:qFormat/>
    <w:rsid w:val="00DE13F8"/>
    <w:pPr>
      <w:keepNext/>
      <w:numPr>
        <w:numId w:val="4"/>
      </w:numPr>
      <w:spacing w:before="240" w:after="240" w:line="288" w:lineRule="auto"/>
      <w:outlineLvl w:val="0"/>
    </w:pPr>
    <w:rPr>
      <w:rFonts w:ascii="Calibri" w:eastAsia="Calibri" w:hAnsi="Calibri"/>
      <w:b/>
      <w:bCs/>
      <w:sz w:val="28"/>
      <w:szCs w:val="28"/>
    </w:rPr>
  </w:style>
  <w:style w:type="paragraph" w:styleId="Heading2">
    <w:name w:val="heading 2"/>
    <w:basedOn w:val="Normal"/>
    <w:uiPriority w:val="2"/>
    <w:qFormat/>
    <w:pPr>
      <w:numPr>
        <w:ilvl w:val="1"/>
        <w:numId w:val="3"/>
      </w:numPr>
      <w:outlineLvl w:val="1"/>
    </w:pPr>
    <w:rPr>
      <w:rFonts w:ascii="Calibri" w:eastAsia="Calibri" w:hAnsi="Calibri"/>
      <w:sz w:val="24"/>
      <w:szCs w:val="24"/>
    </w:rPr>
  </w:style>
  <w:style w:type="paragraph" w:styleId="Heading3">
    <w:name w:val="heading 3"/>
    <w:basedOn w:val="Normal"/>
    <w:next w:val="Normal"/>
    <w:link w:val="Heading3Char"/>
    <w:uiPriority w:val="9"/>
    <w:semiHidden/>
    <w:unhideWhenUsed/>
    <w:qFormat/>
    <w:rsid w:val="00235D0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35D0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35D0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235D0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235D0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235D0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35D0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77"/>
    </w:pPr>
    <w:rPr>
      <w:rFonts w:ascii="Times New Roman" w:eastAsia="Times New Roman" w:hAnsi="Times New Roman"/>
      <w:sz w:val="24"/>
      <w:szCs w:val="24"/>
    </w:rPr>
  </w:style>
  <w:style w:type="paragraph" w:styleId="BodyText">
    <w:name w:val="Body Text"/>
    <w:basedOn w:val="Normal"/>
    <w:uiPriority w:val="1"/>
    <w:qFormat/>
    <w:rsid w:val="00C57D54"/>
    <w:pPr>
      <w:spacing w:line="288" w:lineRule="auto"/>
      <w:ind w:left="144"/>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7A7D"/>
    <w:rPr>
      <w:rFonts w:ascii="Tahoma" w:hAnsi="Tahoma" w:cs="Tahoma"/>
      <w:sz w:val="16"/>
      <w:szCs w:val="16"/>
    </w:rPr>
  </w:style>
  <w:style w:type="character" w:customStyle="1" w:styleId="BalloonTextChar">
    <w:name w:val="Balloon Text Char"/>
    <w:basedOn w:val="DefaultParagraphFont"/>
    <w:link w:val="BalloonText"/>
    <w:uiPriority w:val="99"/>
    <w:semiHidden/>
    <w:rsid w:val="00F87A7D"/>
    <w:rPr>
      <w:rFonts w:ascii="Tahoma" w:hAnsi="Tahoma" w:cs="Tahoma"/>
      <w:sz w:val="16"/>
      <w:szCs w:val="16"/>
    </w:rPr>
  </w:style>
  <w:style w:type="character" w:styleId="CommentReference">
    <w:name w:val="annotation reference"/>
    <w:basedOn w:val="DefaultParagraphFont"/>
    <w:uiPriority w:val="99"/>
    <w:semiHidden/>
    <w:unhideWhenUsed/>
    <w:rsid w:val="00F87A7D"/>
    <w:rPr>
      <w:sz w:val="16"/>
      <w:szCs w:val="16"/>
    </w:rPr>
  </w:style>
  <w:style w:type="paragraph" w:styleId="CommentText">
    <w:name w:val="annotation text"/>
    <w:basedOn w:val="Normal"/>
    <w:link w:val="CommentTextChar"/>
    <w:uiPriority w:val="99"/>
    <w:unhideWhenUsed/>
    <w:rsid w:val="00F87A7D"/>
    <w:rPr>
      <w:sz w:val="20"/>
      <w:szCs w:val="20"/>
    </w:rPr>
  </w:style>
  <w:style w:type="character" w:customStyle="1" w:styleId="CommentTextChar">
    <w:name w:val="Comment Text Char"/>
    <w:basedOn w:val="DefaultParagraphFont"/>
    <w:link w:val="CommentText"/>
    <w:uiPriority w:val="99"/>
    <w:rsid w:val="00F87A7D"/>
    <w:rPr>
      <w:sz w:val="20"/>
      <w:szCs w:val="20"/>
    </w:rPr>
  </w:style>
  <w:style w:type="paragraph" w:styleId="CommentSubject">
    <w:name w:val="annotation subject"/>
    <w:basedOn w:val="CommentText"/>
    <w:next w:val="CommentText"/>
    <w:link w:val="CommentSubjectChar"/>
    <w:uiPriority w:val="99"/>
    <w:semiHidden/>
    <w:unhideWhenUsed/>
    <w:rsid w:val="00F87A7D"/>
    <w:rPr>
      <w:b/>
      <w:bCs/>
    </w:rPr>
  </w:style>
  <w:style w:type="character" w:customStyle="1" w:styleId="CommentSubjectChar">
    <w:name w:val="Comment Subject Char"/>
    <w:basedOn w:val="CommentTextChar"/>
    <w:link w:val="CommentSubject"/>
    <w:uiPriority w:val="99"/>
    <w:semiHidden/>
    <w:rsid w:val="00F87A7D"/>
    <w:rPr>
      <w:b/>
      <w:bCs/>
      <w:sz w:val="20"/>
      <w:szCs w:val="20"/>
    </w:rPr>
  </w:style>
  <w:style w:type="paragraph" w:styleId="Revision">
    <w:name w:val="Revision"/>
    <w:hidden/>
    <w:uiPriority w:val="99"/>
    <w:semiHidden/>
    <w:rsid w:val="00EE211F"/>
    <w:pPr>
      <w:widowControl/>
    </w:pPr>
  </w:style>
  <w:style w:type="table" w:styleId="TableGrid">
    <w:name w:val="Table Grid"/>
    <w:basedOn w:val="TableNormal"/>
    <w:uiPriority w:val="59"/>
    <w:rsid w:val="0031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EDA"/>
    <w:pPr>
      <w:tabs>
        <w:tab w:val="center" w:pos="4680"/>
        <w:tab w:val="right" w:pos="9360"/>
      </w:tabs>
    </w:pPr>
  </w:style>
  <w:style w:type="character" w:customStyle="1" w:styleId="HeaderChar">
    <w:name w:val="Header Char"/>
    <w:basedOn w:val="DefaultParagraphFont"/>
    <w:link w:val="Header"/>
    <w:uiPriority w:val="99"/>
    <w:rsid w:val="00B16EDA"/>
  </w:style>
  <w:style w:type="paragraph" w:styleId="Footer">
    <w:name w:val="footer"/>
    <w:basedOn w:val="Normal"/>
    <w:link w:val="FooterChar"/>
    <w:uiPriority w:val="99"/>
    <w:unhideWhenUsed/>
    <w:rsid w:val="00B16EDA"/>
    <w:pPr>
      <w:tabs>
        <w:tab w:val="center" w:pos="4680"/>
        <w:tab w:val="right" w:pos="9360"/>
      </w:tabs>
    </w:pPr>
  </w:style>
  <w:style w:type="character" w:customStyle="1" w:styleId="FooterChar">
    <w:name w:val="Footer Char"/>
    <w:basedOn w:val="DefaultParagraphFont"/>
    <w:link w:val="Footer"/>
    <w:uiPriority w:val="99"/>
    <w:rsid w:val="00B16EDA"/>
  </w:style>
  <w:style w:type="character" w:styleId="Hyperlink">
    <w:name w:val="Hyperlink"/>
    <w:basedOn w:val="DefaultParagraphFont"/>
    <w:uiPriority w:val="99"/>
    <w:unhideWhenUsed/>
    <w:rsid w:val="00B16EDA"/>
    <w:rPr>
      <w:color w:val="0000FF" w:themeColor="hyperlink"/>
      <w:u w:val="single"/>
    </w:rPr>
  </w:style>
  <w:style w:type="table" w:customStyle="1" w:styleId="GridTable1Light-Accent51">
    <w:name w:val="Grid Table 1 Light - Accent 51"/>
    <w:basedOn w:val="TableNormal"/>
    <w:uiPriority w:val="46"/>
    <w:rsid w:val="005F36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F36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40CA1"/>
    <w:rPr>
      <w:b/>
      <w:bCs/>
    </w:rPr>
  </w:style>
  <w:style w:type="character" w:customStyle="1" w:styleId="Heading3Char">
    <w:name w:val="Heading 3 Char"/>
    <w:basedOn w:val="DefaultParagraphFont"/>
    <w:link w:val="Heading3"/>
    <w:uiPriority w:val="9"/>
    <w:semiHidden/>
    <w:rsid w:val="00235D04"/>
    <w:rPr>
      <w:rFonts w:asciiTheme="majorHAnsi" w:eastAsiaTheme="majorEastAsia" w:hAnsiTheme="majorHAnsi" w:cstheme="majorBidi"/>
      <w:color w:val="243F60" w:themeColor="accent1" w:themeShade="7F"/>
      <w:sz w:val="24"/>
      <w:szCs w:val="24"/>
      <w:lang w:val="fr-CA"/>
    </w:rPr>
  </w:style>
  <w:style w:type="character" w:customStyle="1" w:styleId="Heading4Char">
    <w:name w:val="Heading 4 Char"/>
    <w:basedOn w:val="DefaultParagraphFont"/>
    <w:link w:val="Heading4"/>
    <w:uiPriority w:val="9"/>
    <w:rsid w:val="00235D04"/>
    <w:rPr>
      <w:rFonts w:asciiTheme="majorHAnsi" w:eastAsiaTheme="majorEastAsia" w:hAnsiTheme="majorHAnsi" w:cstheme="majorBidi"/>
      <w:i/>
      <w:iCs/>
      <w:color w:val="365F91" w:themeColor="accent1" w:themeShade="BF"/>
      <w:lang w:val="fr-CA"/>
    </w:rPr>
  </w:style>
  <w:style w:type="character" w:customStyle="1" w:styleId="Heading5Char">
    <w:name w:val="Heading 5 Char"/>
    <w:basedOn w:val="DefaultParagraphFont"/>
    <w:link w:val="Heading5"/>
    <w:uiPriority w:val="9"/>
    <w:semiHidden/>
    <w:rsid w:val="00235D04"/>
    <w:rPr>
      <w:rFonts w:asciiTheme="majorHAnsi" w:eastAsiaTheme="majorEastAsia" w:hAnsiTheme="majorHAnsi" w:cstheme="majorBidi"/>
      <w:color w:val="365F91" w:themeColor="accent1" w:themeShade="BF"/>
      <w:lang w:val="fr-CA"/>
    </w:rPr>
  </w:style>
  <w:style w:type="character" w:customStyle="1" w:styleId="Heading6Char">
    <w:name w:val="Heading 6 Char"/>
    <w:basedOn w:val="DefaultParagraphFont"/>
    <w:link w:val="Heading6"/>
    <w:uiPriority w:val="9"/>
    <w:semiHidden/>
    <w:rsid w:val="00235D04"/>
    <w:rPr>
      <w:rFonts w:asciiTheme="majorHAnsi" w:eastAsiaTheme="majorEastAsia" w:hAnsiTheme="majorHAnsi" w:cstheme="majorBidi"/>
      <w:color w:val="243F60" w:themeColor="accent1" w:themeShade="7F"/>
      <w:lang w:val="fr-CA"/>
    </w:rPr>
  </w:style>
  <w:style w:type="character" w:customStyle="1" w:styleId="Heading7Char">
    <w:name w:val="Heading 7 Char"/>
    <w:basedOn w:val="DefaultParagraphFont"/>
    <w:link w:val="Heading7"/>
    <w:uiPriority w:val="9"/>
    <w:semiHidden/>
    <w:rsid w:val="00235D04"/>
    <w:rPr>
      <w:rFonts w:asciiTheme="majorHAnsi" w:eastAsiaTheme="majorEastAsia" w:hAnsiTheme="majorHAnsi" w:cstheme="majorBidi"/>
      <w:i/>
      <w:iCs/>
      <w:color w:val="243F60" w:themeColor="accent1" w:themeShade="7F"/>
      <w:lang w:val="fr-CA"/>
    </w:rPr>
  </w:style>
  <w:style w:type="character" w:customStyle="1" w:styleId="Heading8Char">
    <w:name w:val="Heading 8 Char"/>
    <w:basedOn w:val="DefaultParagraphFont"/>
    <w:link w:val="Heading8"/>
    <w:uiPriority w:val="9"/>
    <w:semiHidden/>
    <w:rsid w:val="00235D04"/>
    <w:rPr>
      <w:rFonts w:asciiTheme="majorHAnsi" w:eastAsiaTheme="majorEastAsia" w:hAnsiTheme="majorHAnsi" w:cstheme="majorBidi"/>
      <w:color w:val="272727" w:themeColor="text1" w:themeTint="D8"/>
      <w:sz w:val="21"/>
      <w:szCs w:val="21"/>
      <w:lang w:val="fr-CA"/>
    </w:rPr>
  </w:style>
  <w:style w:type="character" w:customStyle="1" w:styleId="Heading9Char">
    <w:name w:val="Heading 9 Char"/>
    <w:basedOn w:val="DefaultParagraphFont"/>
    <w:link w:val="Heading9"/>
    <w:uiPriority w:val="9"/>
    <w:semiHidden/>
    <w:rsid w:val="00235D04"/>
    <w:rPr>
      <w:rFonts w:asciiTheme="majorHAnsi" w:eastAsiaTheme="majorEastAsia" w:hAnsiTheme="majorHAnsi" w:cstheme="majorBidi"/>
      <w:i/>
      <w:iCs/>
      <w:color w:val="272727" w:themeColor="text1" w:themeTint="D8"/>
      <w:sz w:val="21"/>
      <w:szCs w:val="21"/>
      <w:lang w:val="fr-CA"/>
    </w:rPr>
  </w:style>
  <w:style w:type="paragraph" w:styleId="List">
    <w:name w:val="List"/>
    <w:basedOn w:val="Normal"/>
    <w:uiPriority w:val="1"/>
    <w:qFormat/>
    <w:rsid w:val="00C57D54"/>
    <w:pPr>
      <w:numPr>
        <w:ilvl w:val="1"/>
        <w:numId w:val="4"/>
      </w:numPr>
      <w:spacing w:after="240" w:line="288" w:lineRule="auto"/>
    </w:pPr>
  </w:style>
  <w:style w:type="paragraph" w:styleId="List2">
    <w:name w:val="List 2"/>
    <w:basedOn w:val="Normal"/>
    <w:uiPriority w:val="1"/>
    <w:qFormat/>
    <w:rsid w:val="008D23D5"/>
    <w:pPr>
      <w:numPr>
        <w:ilvl w:val="2"/>
        <w:numId w:val="4"/>
      </w:numPr>
      <w:spacing w:after="240" w:line="288" w:lineRule="auto"/>
    </w:pPr>
  </w:style>
  <w:style w:type="character" w:styleId="PageNumber">
    <w:name w:val="page number"/>
    <w:rsid w:val="00612795"/>
    <w:rPr>
      <w:rFonts w:ascii="Times New Roman" w:hAnsi="Times New Roman"/>
      <w:b/>
      <w:dstrike w:val="0"/>
      <w:color w:val="C0C0C0"/>
      <w:sz w:val="2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629894">
      <w:bodyDiv w:val="1"/>
      <w:marLeft w:val="0"/>
      <w:marRight w:val="0"/>
      <w:marTop w:val="0"/>
      <w:marBottom w:val="0"/>
      <w:divBdr>
        <w:top w:val="none" w:sz="0" w:space="0" w:color="auto"/>
        <w:left w:val="none" w:sz="0" w:space="0" w:color="auto"/>
        <w:bottom w:val="none" w:sz="0" w:space="0" w:color="auto"/>
        <w:right w:val="none" w:sz="0" w:space="0" w:color="auto"/>
      </w:divBdr>
    </w:div>
    <w:div w:id="181621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8CB8-A3F5-41FF-ACD8-80E5A028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2023-10-11T19:46:00Z</dcterms:created>
  <dcterms:modified xsi:type="dcterms:W3CDTF">2023-10-11T19:46:00Z</dcterms:modified>
</cp:coreProperties>
</file>